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CABBB" w14:textId="4B855E57" w:rsidR="00B6180A" w:rsidRPr="00B6180A" w:rsidRDefault="00311514" w:rsidP="00B6180A">
      <w:pPr>
        <w:widowControl w:val="0"/>
        <w:pBdr>
          <w:top w:val="nil"/>
          <w:left w:val="nil"/>
          <w:bottom w:val="nil"/>
          <w:right w:val="nil"/>
          <w:between w:val="nil"/>
        </w:pBdr>
        <w:spacing w:before="120" w:after="120" w:line="240" w:lineRule="auto"/>
        <w:jc w:val="both"/>
        <w:outlineLvl w:val="0"/>
        <w:rPr>
          <w:rFonts w:ascii="Calibri" w:eastAsia="Google Sans" w:hAnsi="Calibri" w:cs="Calibri"/>
          <w:b/>
          <w:color w:val="1B1C1D"/>
          <w:kern w:val="0"/>
          <w:lang w:eastAsia="es-CO"/>
          <w14:ligatures w14:val="none"/>
        </w:rPr>
      </w:pPr>
      <w:r>
        <w:rPr>
          <w:rFonts w:ascii="Calibri" w:eastAsia="Google Sans" w:hAnsi="Calibri" w:cs="Calibri"/>
          <w:b/>
          <w:color w:val="1B1C1D"/>
          <w:kern w:val="0"/>
          <w:lang w:eastAsia="es-CO"/>
          <w14:ligatures w14:val="none"/>
        </w:rPr>
        <w:t xml:space="preserve">ACT- </w:t>
      </w:r>
      <w:r w:rsidR="00C10295">
        <w:rPr>
          <w:rFonts w:ascii="Calibri" w:eastAsia="Google Sans" w:hAnsi="Calibri" w:cs="Calibri"/>
          <w:b/>
          <w:color w:val="1B1C1D"/>
          <w:kern w:val="0"/>
          <w:lang w:eastAsia="es-CO"/>
          <w14:ligatures w14:val="none"/>
        </w:rPr>
        <w:t>c</w:t>
      </w:r>
      <w:r w:rsidR="00952487">
        <w:rPr>
          <w:rFonts w:ascii="Calibri" w:eastAsia="Google Sans" w:hAnsi="Calibri" w:cs="Calibri"/>
          <w:b/>
          <w:color w:val="1B1C1D"/>
          <w:kern w:val="0"/>
          <w:lang w:eastAsia="es-CO"/>
          <w14:ligatures w14:val="none"/>
        </w:rPr>
        <w:t>oncepto sobre el</w:t>
      </w:r>
      <w:r w:rsidR="00B6180A" w:rsidRPr="00B6180A">
        <w:rPr>
          <w:rFonts w:ascii="Calibri" w:eastAsia="Google Sans" w:hAnsi="Calibri" w:cs="Calibri"/>
          <w:b/>
          <w:color w:val="1B1C1D"/>
          <w:kern w:val="0"/>
          <w:lang w:eastAsia="es-CO"/>
          <w14:ligatures w14:val="none"/>
        </w:rPr>
        <w:t xml:space="preserve"> Proyecto de Ley 273 de 2025 de Senado: Riesgos, Ventajas y Sugerencias para la Promoción de la Generació Solar Distribuida en Colombia</w:t>
      </w:r>
    </w:p>
    <w:p w14:paraId="0A53E19C"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w:hAnsi="Calibri" w:cs="Calibri"/>
          <w:color w:val="1B1C1D"/>
          <w:kern w:val="0"/>
          <w:lang w:eastAsia="es-CO"/>
          <w14:ligatures w14:val="none"/>
        </w:rPr>
      </w:pPr>
    </w:p>
    <w:p w14:paraId="4F02CDB3" w14:textId="680D3A4E"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Resumen</w:t>
      </w:r>
    </w:p>
    <w:p w14:paraId="399A366D"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6C26CABD" w14:textId="0907284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El Proyecto de Ley 273 de 2025 de Senado, una iniciativa legislativa del Congreso de la República de Colombia, representa un avance significativo y oportuno en la política de transición energética del país. El documento se alinea con la estrategia de Transición Energética Justa del Gobierno, proponiendo mecanismos para democratizar el acceso a la energía solar distribuida, con un enfoque prioritario en hogares de estratos 1, 2 y 3 y micronegocios. El análisis de la propuesta identifica un potencial considerable para genear ahorros económicos directos para los usuarios, mitigar la presión sobre las finanzas públicas mediante la sustitución de subsidios y fortalecer la resiliencia del Sistema Interconectado Nacional (SIN) </w:t>
      </w:r>
      <w:r w:rsidR="00952487">
        <w:rPr>
          <w:rStyle w:val="Refdenotaalpie"/>
          <w:rFonts w:ascii="Calibri" w:eastAsia="Google Sans Text" w:hAnsi="Calibri" w:cs="Calibri"/>
          <w:color w:val="1B1C1D"/>
          <w:kern w:val="0"/>
          <w:lang w:eastAsia="es-CO"/>
          <w14:ligatures w14:val="none"/>
        </w:rPr>
        <w:footnoteReference w:id="1"/>
      </w:r>
      <w:r w:rsidR="00952487">
        <w:rPr>
          <w:rFonts w:ascii="Calibri" w:eastAsia="Google Sans Text" w:hAnsi="Calibri" w:cs="Calibri"/>
          <w:color w:val="1B1C1D"/>
          <w:kern w:val="0"/>
          <w:lang w:eastAsia="es-CO"/>
          <w14:ligatures w14:val="none"/>
        </w:rPr>
        <w:t xml:space="preserve"> </w:t>
      </w:r>
      <w:r w:rsidR="00952487">
        <w:rPr>
          <w:rStyle w:val="Refdenotaalpie"/>
          <w:rFonts w:ascii="Calibri" w:eastAsia="Google Sans Text" w:hAnsi="Calibri" w:cs="Calibri"/>
          <w:color w:val="1B1C1D"/>
          <w:kern w:val="0"/>
          <w:lang w:eastAsia="es-CO"/>
          <w14:ligatures w14:val="none"/>
        </w:rPr>
        <w:footnoteReference w:id="2"/>
      </w:r>
      <w:r w:rsidR="00952487">
        <w:rPr>
          <w:rFonts w:ascii="Calibri" w:eastAsia="Google Sans Text" w:hAnsi="Calibri" w:cs="Calibri"/>
          <w:color w:val="1B1C1D"/>
          <w:kern w:val="0"/>
          <w:lang w:eastAsia="es-CO"/>
          <w14:ligatures w14:val="none"/>
        </w:rPr>
        <w:t xml:space="preserve"> </w:t>
      </w:r>
      <w:r w:rsidR="00952487">
        <w:rPr>
          <w:rStyle w:val="Refdenotaalpie"/>
          <w:rFonts w:ascii="Calibri" w:eastAsia="Google Sans Text" w:hAnsi="Calibri" w:cs="Calibri"/>
          <w:color w:val="1B1C1D"/>
          <w:kern w:val="0"/>
          <w:lang w:eastAsia="es-CO"/>
          <w14:ligatures w14:val="none"/>
        </w:rPr>
        <w:footnoteReference w:id="3"/>
      </w:r>
    </w:p>
    <w:p w14:paraId="273C9804" w14:textId="0EADA848"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A pesar de sus notables beneficios, el análisis detallado del articulado y su contexto revela riesgos implícitos y desafíos regulatorios y operativos que deben ser abordados. La propuesta podría generar superposiciones con la regulación ya existente de la Comisión de Regulación de Energía y Gas (CREG) y la Unidad de Planeación Minero Energética (UPME)</w:t>
      </w:r>
      <w:r w:rsidR="00F7404B">
        <w:rPr>
          <w:rStyle w:val="Refdenotaalpie"/>
          <w:rFonts w:ascii="Calibri" w:eastAsia="Google Sans Text" w:hAnsi="Calibri" w:cs="Calibri"/>
          <w:color w:val="1B1C1D"/>
          <w:kern w:val="0"/>
          <w:lang w:eastAsia="es-CO"/>
          <w14:ligatures w14:val="none"/>
        </w:rPr>
        <w:footnoteReference w:id="4"/>
      </w:r>
      <w:r w:rsidRPr="00B6180A">
        <w:rPr>
          <w:rFonts w:ascii="Calibri" w:eastAsia="Google Sans Text" w:hAnsi="Calibri" w:cs="Calibri"/>
          <w:color w:val="1B1C1D"/>
          <w:kern w:val="0"/>
          <w:lang w:eastAsia="es-CO"/>
          <w14:ligatures w14:val="none"/>
        </w:rPr>
        <w:t>. Además, la masificación de la generación distribuida sin una modernización simultánea de la infraestructura de los Operadores de Red (OR) plantea un riesgo técnico de inestabilidad en la red. Un desafío crucial, identificado a partir de experiencias internacionales como la de California, es el dilema del subsidio cruzado, donde la adopción masiva de la autogeneración podría transferir los costos de la red a los usuarios que no pueden permitirse la instalación de paneles, afectando negativamente la equidad tarifaria</w:t>
      </w:r>
      <w:r w:rsidR="00F7404B">
        <w:rPr>
          <w:rFonts w:ascii="Calibri" w:eastAsia="Google Sans Text" w:hAnsi="Calibri" w:cs="Calibri"/>
          <w:color w:val="1B1C1D"/>
          <w:kern w:val="0"/>
          <w:lang w:eastAsia="es-CO"/>
          <w14:ligatures w14:val="none"/>
        </w:rPr>
        <w:t>.</w:t>
      </w:r>
      <w:r w:rsidR="00F7404B">
        <w:rPr>
          <w:rStyle w:val="Refdenotaalpie"/>
          <w:rFonts w:ascii="Calibri" w:eastAsia="Google Sans Text" w:hAnsi="Calibri" w:cs="Calibri"/>
          <w:color w:val="1B1C1D"/>
          <w:kern w:val="0"/>
          <w:lang w:eastAsia="es-CO"/>
          <w14:ligatures w14:val="none"/>
        </w:rPr>
        <w:footnoteReference w:id="5"/>
      </w:r>
    </w:p>
    <w:p w14:paraId="5AA0A5E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Se concluye que el Proyecto de Ley es una iniciativa valiosa y necesaria, pero su implementación exitosa y equitativa requiere de un marco normativo más preciso y armonizado. Por lo tanto, se recomienda </w:t>
      </w:r>
      <w:r w:rsidRPr="00B6180A">
        <w:rPr>
          <w:rFonts w:ascii="Calibri" w:eastAsia="Google Sans Text" w:hAnsi="Calibri" w:cs="Calibri"/>
          <w:b/>
          <w:color w:val="1B1C1D"/>
          <w:kern w:val="0"/>
          <w:lang w:eastAsia="es-CO"/>
          <w14:ligatures w14:val="none"/>
        </w:rPr>
        <w:t>aprobar la iniciativa, condicionada a la incorporación de modificaciones sustanciales</w:t>
      </w:r>
      <w:r w:rsidRPr="00B6180A">
        <w:rPr>
          <w:rFonts w:ascii="Calibri" w:eastAsia="Google Sans Text" w:hAnsi="Calibri" w:cs="Calibri"/>
          <w:color w:val="1B1C1D"/>
          <w:kern w:val="0"/>
          <w:lang w:eastAsia="es-CO"/>
          <w14:ligatures w14:val="none"/>
        </w:rPr>
        <w:t xml:space="preserve"> que aclaren la superposición regulatoria, establezcan un modelo de balance neto que sea sostenible y equitativo, y definan incentivos y mecanismos de sanción claros para que los Operadores de Red cumplan con los plazos de conexión y las inversiones en infraestructura.</w:t>
      </w:r>
    </w:p>
    <w:p w14:paraId="6009373A" w14:textId="7AFD720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5C98A1A2" w14:textId="30743BDB"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Introducción y Contexto del Proyecto de Ley</w:t>
      </w:r>
    </w:p>
    <w:p w14:paraId="667D9D77"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7C0EC15B"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5D1CCC2C" w14:textId="0AC432F4"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Objeto y Alcance del Proyecto de Ley 273 de 2025</w:t>
      </w:r>
    </w:p>
    <w:p w14:paraId="34D1A79A"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6A177CD5" w14:textId="6A430131"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Proyecto de Ley 273 de 2025 de Senado surge en un contexto de crecimiento sin precedentes de la energía solar en Colombia. En 2024, el país incorporó 1,625 MW fotovoltaicos entre proyectos centralizados y distribuidos, una expansión que supera con creces lo instalado en los años 2022-2023. Este rápido desarrollo ha hecho evidentes tanto los beneficios de la tecnología como los cuellos de botella que frenan la masificación de la generación distribuida en hogares y micronegocios. La iniciativa legislativa busca establecer un marco jurídico y técnico que fomente esta actividad, priorizando a personas naturales, micronegocios y comunidades vulnerables.</w:t>
      </w:r>
    </w:p>
    <w:p w14:paraId="221CF8EF" w14:textId="068415D1"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Para lograr este objetivo, el proyecto de ley propone una serie de mecanismos clave. En primer lugar, crea la figura de la </w:t>
      </w:r>
      <w:r w:rsidRPr="00B6180A">
        <w:rPr>
          <w:rFonts w:ascii="Calibri" w:eastAsia="Google Sans Text" w:hAnsi="Calibri" w:cs="Calibri"/>
          <w:b/>
          <w:color w:val="1B1C1D"/>
          <w:kern w:val="0"/>
          <w:lang w:eastAsia="es-CO"/>
          <w14:ligatures w14:val="none"/>
        </w:rPr>
        <w:t>conexión asistida</w:t>
      </w:r>
      <w:r w:rsidRPr="00B6180A">
        <w:rPr>
          <w:rFonts w:ascii="Calibri" w:eastAsia="Google Sans Text" w:hAnsi="Calibri" w:cs="Calibri"/>
          <w:color w:val="1B1C1D"/>
          <w:kern w:val="0"/>
          <w:lang w:eastAsia="es-CO"/>
          <w14:ligatures w14:val="none"/>
        </w:rPr>
        <w:t xml:space="preserve">, un proceso simplificado para que los ciudadanos se adhieran al SIN. Este proceso incluye plazos perentorios: un diagnóstico técnico gratuito en estratos 1 a 3, una viabilidad técnica por parte del Operador de Red (OR) en un máximo de nueve días hábiles, y la instalación del medidor bidireccional en diez días adicionales. Un segundo pilar es el </w:t>
      </w:r>
      <w:r w:rsidRPr="00B6180A">
        <w:rPr>
          <w:rFonts w:ascii="Calibri" w:eastAsia="Google Sans Text" w:hAnsi="Calibri" w:cs="Calibri"/>
          <w:b/>
          <w:color w:val="1B1C1D"/>
          <w:kern w:val="0"/>
          <w:lang w:eastAsia="es-CO"/>
          <w14:ligatures w14:val="none"/>
        </w:rPr>
        <w:t>balance neto</w:t>
      </w:r>
      <w:r w:rsidRPr="00B6180A">
        <w:rPr>
          <w:rFonts w:ascii="Calibri" w:eastAsia="Google Sans Text" w:hAnsi="Calibri" w:cs="Calibri"/>
          <w:color w:val="1B1C1D"/>
          <w:kern w:val="0"/>
          <w:lang w:eastAsia="es-CO"/>
          <w14:ligatures w14:val="none"/>
        </w:rPr>
        <w:t xml:space="preserve">, un mecanismo de compensación en el que la energía inyectada a la red se mide en kWh y se acumula mensualmente en la factura del usuario. Los créditos de energía no utilizados caducan a los doce meses, y si el usuario se retira del sistema, el saldo positivo se monetiza al precio promedio de compra de energía. Adicionalmente, se promueve la </w:t>
      </w:r>
      <w:r w:rsidRPr="00B6180A">
        <w:rPr>
          <w:rFonts w:ascii="Calibri" w:eastAsia="Google Sans Text" w:hAnsi="Calibri" w:cs="Calibri"/>
          <w:b/>
          <w:color w:val="1B1C1D"/>
          <w:kern w:val="0"/>
          <w:lang w:eastAsia="es-CO"/>
          <w14:ligatures w14:val="none"/>
        </w:rPr>
        <w:t>cofinanciación pública</w:t>
      </w:r>
      <w:r w:rsidRPr="00B6180A">
        <w:rPr>
          <w:rFonts w:ascii="Calibri" w:eastAsia="Google Sans Text" w:hAnsi="Calibri" w:cs="Calibri"/>
          <w:color w:val="1B1C1D"/>
          <w:kern w:val="0"/>
          <w:lang w:eastAsia="es-CO"/>
          <w14:ligatures w14:val="none"/>
        </w:rPr>
        <w:t xml:space="preserve"> mediante la creación del Programa Nacional de Cofinanciación Solar, que financiará hasta el 70% del costo de los sistemas para hogares de estratos 1, 2 y 3, así como para microempresas formales e informales. El proyecto también reitera los </w:t>
      </w:r>
      <w:r w:rsidRPr="00B6180A">
        <w:rPr>
          <w:rFonts w:ascii="Calibri" w:eastAsia="Google Sans Text" w:hAnsi="Calibri" w:cs="Calibri"/>
          <w:b/>
          <w:color w:val="1B1C1D"/>
          <w:kern w:val="0"/>
          <w:lang w:eastAsia="es-CO"/>
          <w14:ligatures w14:val="none"/>
        </w:rPr>
        <w:t>incentivos tributarios</w:t>
      </w:r>
      <w:r w:rsidRPr="00B6180A">
        <w:rPr>
          <w:rFonts w:ascii="Calibri" w:eastAsia="Google Sans Text" w:hAnsi="Calibri" w:cs="Calibri"/>
          <w:color w:val="1B1C1D"/>
          <w:kern w:val="0"/>
          <w:lang w:eastAsia="es-CO"/>
          <w14:ligatures w14:val="none"/>
        </w:rPr>
        <w:t xml:space="preserve"> ya existentes, como la exención de IVA en equipos, la deducción del 50% de la inversión en renta por cinco años y la exclusión del impuesto predial sobre el valor del sistema. Finalmente, el PL autoriza la creación de </w:t>
      </w:r>
      <w:r w:rsidRPr="00B6180A">
        <w:rPr>
          <w:rFonts w:ascii="Calibri" w:eastAsia="Google Sans Text" w:hAnsi="Calibri" w:cs="Calibri"/>
          <w:b/>
          <w:color w:val="1B1C1D"/>
          <w:kern w:val="0"/>
          <w:lang w:eastAsia="es-CO"/>
          <w14:ligatures w14:val="none"/>
        </w:rPr>
        <w:t>comunidades energéticas simplificadas</w:t>
      </w:r>
      <w:r w:rsidRPr="00B6180A">
        <w:rPr>
          <w:rFonts w:ascii="Calibri" w:eastAsia="Google Sans Text" w:hAnsi="Calibri" w:cs="Calibri"/>
          <w:color w:val="1B1C1D"/>
          <w:kern w:val="0"/>
          <w:lang w:eastAsia="es-CO"/>
          <w14:ligatures w14:val="none"/>
        </w:rPr>
        <w:t>, agrupaciones de hasta 200 kW que pueden compartir infraestructura y tienen derecho a facturación colectiva y prorrateo de excedentes.</w:t>
      </w:r>
    </w:p>
    <w:p w14:paraId="4C869E79"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637A63E4" w14:textId="34A12461"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Justificación de la Iniciativa</w:t>
      </w:r>
    </w:p>
    <w:p w14:paraId="69571D28"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4E0686FC" w14:textId="2841894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exposición de motivos del proyecto de ley argumenta que, a pesar de los avances normativos previos (Ley 1715 de 2014, Ley 2099 de 2021, Resoluciones CREG 030 de 2018 y 174 de 2021), aún existen barreras significativas para la adopción masiva de la generación distribuida. El documento señala que el andamiaje macro del sector no ha sido suficiente para que un ciudadano común pase, sin fricciones, de la intención de instalar paneles a tener un sistema interconectado y una facturación transparente.</w:t>
      </w:r>
    </w:p>
    <w:p w14:paraId="6B754A42" w14:textId="6F60EC32"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Los datos respaldan esta justificación. La Unidad de Planeación Minero Energética (UPME) ha registrado un portafolio de más de 7,000 MW en fila de conexión para 2027-2028, con una abrumadora mayoría de proyectos solares, lo que contrasta con la capacidad que efectivamente ha entrado en operación. Los desarrolladores han documentado que los trámites pueden </w:t>
      </w:r>
      <w:r w:rsidRPr="00B6180A">
        <w:rPr>
          <w:rFonts w:ascii="Calibri" w:eastAsia="Google Sans Text" w:hAnsi="Calibri" w:cs="Calibri"/>
          <w:color w:val="1B1C1D"/>
          <w:kern w:val="0"/>
          <w:lang w:eastAsia="es-CO"/>
          <w14:ligatures w14:val="none"/>
        </w:rPr>
        <w:lastRenderedPageBreak/>
        <w:t>consumir entre tres y seis años desde la planeación hasta la operación comercial, con un peso desproporcionado del papeleo y los ajustes de conexión. En este contexto, el Proyecto de Ley 273 busca ser el instrumento que ataca los problemas de</w:t>
      </w:r>
      <w:r w:rsidR="00F7404B">
        <w:rPr>
          <w:rFonts w:ascii="Calibri" w:eastAsia="Google Sans Text" w:hAnsi="Calibri" w:cs="Calibri"/>
          <w:color w:val="1B1C1D"/>
          <w:kern w:val="0"/>
          <w:lang w:eastAsia="es-CO"/>
          <w14:ligatures w14:val="none"/>
        </w:rPr>
        <w:t xml:space="preserve"> </w:t>
      </w:r>
      <w:r w:rsidRPr="00B6180A">
        <w:rPr>
          <w:rFonts w:ascii="Calibri" w:eastAsia="Google Sans Text" w:hAnsi="Calibri" w:cs="Calibri"/>
          <w:color w:val="1B1C1D"/>
          <w:kern w:val="0"/>
          <w:lang w:eastAsia="es-CO"/>
          <w14:ligatures w14:val="none"/>
        </w:rPr>
        <w:t>l</w:t>
      </w:r>
      <w:r w:rsidR="00F7404B">
        <w:rPr>
          <w:rFonts w:ascii="Calibri" w:eastAsia="Google Sans Text" w:hAnsi="Calibri" w:cs="Calibri"/>
          <w:color w:val="1B1C1D"/>
          <w:kern w:val="0"/>
          <w:lang w:eastAsia="es-CO"/>
          <w14:ligatures w14:val="none"/>
        </w:rPr>
        <w:t>a</w:t>
      </w:r>
      <w:r w:rsidRPr="00B6180A">
        <w:rPr>
          <w:rFonts w:ascii="Calibri" w:eastAsia="Google Sans Text" w:hAnsi="Calibri" w:cs="Calibri"/>
          <w:color w:val="1B1C1D"/>
          <w:kern w:val="0"/>
          <w:lang w:eastAsia="es-CO"/>
          <w14:ligatures w14:val="none"/>
        </w:rPr>
        <w:t xml:space="preserve"> </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últim</w:t>
      </w:r>
      <w:r w:rsidR="00F7404B">
        <w:rPr>
          <w:rFonts w:ascii="Calibri" w:eastAsia="Google Sans Text" w:hAnsi="Calibri" w:cs="Calibri"/>
          <w:color w:val="1B1C1D"/>
          <w:kern w:val="0"/>
          <w:lang w:eastAsia="es-CO"/>
          <w14:ligatures w14:val="none"/>
        </w:rPr>
        <w:t>a</w:t>
      </w:r>
      <w:r w:rsidRPr="00B6180A">
        <w:rPr>
          <w:rFonts w:ascii="Calibri" w:eastAsia="Google Sans Text" w:hAnsi="Calibri" w:cs="Calibri"/>
          <w:color w:val="1B1C1D"/>
          <w:kern w:val="0"/>
          <w:lang w:eastAsia="es-CO"/>
          <w14:ligatures w14:val="none"/>
        </w:rPr>
        <w:t xml:space="preserve"> </w:t>
      </w:r>
      <w:r w:rsidR="00F7404B">
        <w:rPr>
          <w:rFonts w:ascii="Calibri" w:eastAsia="Google Sans Text" w:hAnsi="Calibri" w:cs="Calibri"/>
          <w:color w:val="1B1C1D"/>
          <w:kern w:val="0"/>
          <w:lang w:eastAsia="es-CO"/>
          <w14:ligatures w14:val="none"/>
        </w:rPr>
        <w:t>milla”</w:t>
      </w:r>
      <w:r w:rsidRPr="00B6180A">
        <w:rPr>
          <w:rFonts w:ascii="Calibri" w:eastAsia="Google Sans Text" w:hAnsi="Calibri" w:cs="Calibri"/>
          <w:color w:val="1B1C1D"/>
          <w:kern w:val="0"/>
          <w:lang w:eastAsia="es-CO"/>
          <w14:ligatures w14:val="none"/>
        </w:rPr>
        <w:t xml:space="preserve"> normativ</w:t>
      </w:r>
      <w:r w:rsidR="00F7404B">
        <w:rPr>
          <w:rFonts w:ascii="Calibri" w:eastAsia="Google Sans Text" w:hAnsi="Calibri" w:cs="Calibri"/>
          <w:color w:val="1B1C1D"/>
          <w:kern w:val="0"/>
          <w:lang w:eastAsia="es-CO"/>
          <w14:ligatures w14:val="none"/>
        </w:rPr>
        <w:t>a</w:t>
      </w:r>
      <w:r w:rsidRPr="00B6180A">
        <w:rPr>
          <w:rFonts w:ascii="Calibri" w:eastAsia="Google Sans Text" w:hAnsi="Calibri" w:cs="Calibri"/>
          <w:color w:val="1B1C1D"/>
          <w:kern w:val="0"/>
          <w:lang w:eastAsia="es-CO"/>
          <w14:ligatures w14:val="none"/>
        </w:rPr>
        <w:t xml:space="preserve"> y operacional, formalizando y simplificando los procesos para la </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transición justa</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 xml:space="preserve"> que prioriza a los usuarios vulnerables y la economía de barrio.</w:t>
      </w:r>
    </w:p>
    <w:p w14:paraId="0DAEC894" w14:textId="3DCFFE70"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0551A053" w14:textId="559E781E"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Análisis de las Ventajas y Conveniencias</w:t>
      </w:r>
    </w:p>
    <w:p w14:paraId="7D257AE0"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21E7D844" w14:textId="5B60E87B"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Beneficios Económicos y Sociales para los Usuarios Finales</w:t>
      </w:r>
    </w:p>
    <w:p w14:paraId="566069F7"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4BCE0A96" w14:textId="475FCE5B"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Uno de los mayores atractivos del Proyecto de Ley es su potencial para aliviar la pobreza energética en los hogares más vulnerables de Colombia. El programa Colombia Solar, que la iniciativa busca formalizar, ha demostrado en pilotos que los hogares beneficiados pueden percibir ahorros significativos, con reducciones de hasta el 60% en sus facturas de energía, y en algunos casos, logrando un costo de cero pesos. Esta liberación de ingresos no es meramente un ahorro, sino una transformación real en la calidad de vida que permite a las familias destinar ese dinero a otras necesidades básicas. Para los micronegocios, un sector clave de la economía popular, los ahorros pueden ser aún más pronunciados, llegando hasta el 70% en su factura de energía</w:t>
      </w:r>
      <w:r w:rsidR="00EB279D">
        <w:rPr>
          <w:rStyle w:val="Refdenotaalpie"/>
          <w:rFonts w:ascii="Calibri" w:eastAsia="Google Sans Text" w:hAnsi="Calibri" w:cs="Calibri"/>
          <w:color w:val="1B1C1D"/>
          <w:kern w:val="0"/>
          <w:lang w:eastAsia="es-CO"/>
          <w14:ligatures w14:val="none"/>
        </w:rPr>
        <w:footnoteReference w:id="6"/>
      </w:r>
      <w:r w:rsidRPr="00B6180A">
        <w:rPr>
          <w:rFonts w:ascii="Calibri" w:eastAsia="Google Sans Text" w:hAnsi="Calibri" w:cs="Calibri"/>
          <w:color w:val="1B1C1D"/>
          <w:kern w:val="0"/>
          <w:lang w:eastAsia="es-CO"/>
          <w14:ligatures w14:val="none"/>
        </w:rPr>
        <w:t>. Este beneficio directo mejora su competitividad, aumenta sus márgenes de ganancia y contribuye a su sostenibilidad económica a largo plazo. El articulado del proyecto, al proponer una bonificación no reembolsable del 15% para los micronegocios, reconoce la importancia de este segmento para la economía local.</w:t>
      </w:r>
    </w:p>
    <w:p w14:paraId="3A78FEE0" w14:textId="58FDF94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formalización de estos beneficios a través de una ley, en lugar de un programa gubernamental temporal, confiere una continuidad y un carácter de política de Estado de largo plazo</w:t>
      </w:r>
      <w:r w:rsidR="00EB279D">
        <w:rPr>
          <w:rStyle w:val="Refdenotaalpie"/>
          <w:rFonts w:ascii="Calibri" w:eastAsia="Google Sans Text" w:hAnsi="Calibri" w:cs="Calibri"/>
          <w:color w:val="1B1C1D"/>
          <w:kern w:val="0"/>
          <w:lang w:eastAsia="es-CO"/>
          <w14:ligatures w14:val="none"/>
        </w:rPr>
        <w:footnoteReference w:id="7"/>
      </w:r>
      <w:r w:rsidRPr="00B6180A">
        <w:rPr>
          <w:rFonts w:ascii="Calibri" w:eastAsia="Google Sans Text" w:hAnsi="Calibri" w:cs="Calibri"/>
          <w:color w:val="1B1C1D"/>
          <w:kern w:val="0"/>
          <w:lang w:eastAsia="es-CO"/>
          <w14:ligatures w14:val="none"/>
        </w:rPr>
        <w:t>. Esto es fundamental para generar la confianza necesaria en los beneficiarios y en el sector privado para invertir. Un marco legal robusto reduce el riesgo político y la incertidumbre, lo que es esencial para la adopción a gran escala de esta tecnología.</w:t>
      </w:r>
    </w:p>
    <w:p w14:paraId="4ED69DCF"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1A70DE26" w14:textId="2B334D45"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Aportes a la Transición Energética y la Seguridad de Abastecimiento</w:t>
      </w:r>
    </w:p>
    <w:p w14:paraId="77072A5F"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68F18528" w14:textId="677ED5C4"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La masificación de la generación distribuida, promovida por este proyecto, tiene una serie de efectos positivos en la matriz energética y la seguridad de abastecimiento del país. Al generar energía cerca de los centros de consumo, se reduce la dependencia de las grandes centrales de </w:t>
      </w:r>
      <w:r w:rsidRPr="00B6180A">
        <w:rPr>
          <w:rFonts w:ascii="Calibri" w:eastAsia="Google Sans Text" w:hAnsi="Calibri" w:cs="Calibri"/>
          <w:color w:val="1B1C1D"/>
          <w:kern w:val="0"/>
          <w:lang w:eastAsia="es-CO"/>
          <w14:ligatures w14:val="none"/>
        </w:rPr>
        <w:lastRenderedPageBreak/>
        <w:t>generación, la mayoría de las cuales son hidroeléctricas en Colombia</w:t>
      </w:r>
      <w:r w:rsidR="00EB279D">
        <w:rPr>
          <w:rStyle w:val="Refdenotaalpie"/>
          <w:rFonts w:ascii="Calibri" w:eastAsia="Google Sans Text" w:hAnsi="Calibri" w:cs="Calibri"/>
          <w:color w:val="1B1C1D"/>
          <w:kern w:val="0"/>
          <w:lang w:eastAsia="es-CO"/>
          <w14:ligatures w14:val="none"/>
        </w:rPr>
        <w:footnoteReference w:id="8"/>
      </w:r>
      <w:r w:rsidRPr="00B6180A">
        <w:rPr>
          <w:rFonts w:ascii="Calibri" w:eastAsia="Google Sans Text" w:hAnsi="Calibri" w:cs="Calibri"/>
          <w:color w:val="1B1C1D"/>
          <w:kern w:val="0"/>
          <w:lang w:eastAsia="es-CO"/>
          <w14:ligatures w14:val="none"/>
        </w:rPr>
        <w:t xml:space="preserve"> </w:t>
      </w:r>
      <w:r w:rsidR="00EB279D">
        <w:rPr>
          <w:rStyle w:val="Refdenotaalpie"/>
          <w:rFonts w:ascii="Calibri" w:eastAsia="Google Sans Text" w:hAnsi="Calibri" w:cs="Calibri"/>
          <w:color w:val="1B1C1D"/>
          <w:kern w:val="0"/>
          <w:lang w:eastAsia="es-CO"/>
          <w14:ligatures w14:val="none"/>
        </w:rPr>
        <w:footnoteReference w:id="9"/>
      </w:r>
      <w:r w:rsidRPr="00B6180A">
        <w:rPr>
          <w:rFonts w:ascii="Calibri" w:eastAsia="Google Sans Text" w:hAnsi="Calibri" w:cs="Calibri"/>
          <w:color w:val="1B1C1D"/>
          <w:kern w:val="0"/>
          <w:lang w:eastAsia="es-CO"/>
          <w14:ligatures w14:val="none"/>
        </w:rPr>
        <w:t>. Esta descentralización mitiga los riesgos asociados a la variabilidad hidrológica, como el fenómeno de El Niño, lo que fortalece la resiliencia del sistema. La energía solar, al ser una fuente que genera durante las horas pico de demanda diurna, ayuda a aliviar la presión sobre la red en los momentos de mayor consumo, reduciendo las pérdidas técnicas y postergando la necesidad de inversiones costosas en infraestructura de transmisión a gran escala</w:t>
      </w:r>
      <w:r w:rsidR="00EB279D">
        <w:rPr>
          <w:rStyle w:val="Refdenotaalpie"/>
          <w:rFonts w:ascii="Calibri" w:eastAsia="Google Sans Text" w:hAnsi="Calibri" w:cs="Calibri"/>
          <w:color w:val="1B1C1D"/>
          <w:kern w:val="0"/>
          <w:lang w:eastAsia="es-CO"/>
          <w14:ligatures w14:val="none"/>
        </w:rPr>
        <w:footnoteReference w:id="10"/>
      </w:r>
      <w:r w:rsidRPr="00B6180A">
        <w:rPr>
          <w:rFonts w:ascii="Calibri" w:eastAsia="Google Sans Text" w:hAnsi="Calibri" w:cs="Calibri"/>
          <w:color w:val="1B1C1D"/>
          <w:kern w:val="0"/>
          <w:lang w:eastAsia="es-CO"/>
          <w14:ligatures w14:val="none"/>
        </w:rPr>
        <w:t>.</w:t>
      </w:r>
    </w:p>
    <w:p w14:paraId="148E391C" w14:textId="09335481"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adopción de esta tecnología también contribuye directamente a los compromisos climáticos de Colombia. La generación solar distribuida ha demostrado su capacidad para reducir la emisión de gases de efecto invernadero y la huella de carbono, lo que ayuda al país a cumplir con sus metas bajo el Acuerdo de París</w:t>
      </w:r>
      <w:r w:rsidR="00EB279D">
        <w:rPr>
          <w:rStyle w:val="Refdenotaalpie"/>
          <w:rFonts w:ascii="Calibri" w:eastAsia="Google Sans Text" w:hAnsi="Calibri" w:cs="Calibri"/>
          <w:color w:val="1B1C1D"/>
          <w:kern w:val="0"/>
          <w:lang w:eastAsia="es-CO"/>
          <w14:ligatures w14:val="none"/>
        </w:rPr>
        <w:footnoteReference w:id="11"/>
      </w:r>
      <w:r w:rsidRPr="00B6180A">
        <w:rPr>
          <w:rFonts w:ascii="Calibri" w:eastAsia="Google Sans Text" w:hAnsi="Calibri" w:cs="Calibri"/>
          <w:color w:val="1B1C1D"/>
          <w:kern w:val="0"/>
          <w:lang w:eastAsia="es-CO"/>
          <w14:ligatures w14:val="none"/>
        </w:rPr>
        <w:t>. Este efecto ambiental positivo se logra de manera simultánea al beneficio económico para los usuarios, demostrando que la transición energética puede ser socialmente justa y ambientalmente responsable.</w:t>
      </w:r>
    </w:p>
    <w:p w14:paraId="2F319807"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1CA20881" w14:textId="238F0C0E"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Impulso a la Economía Local y el Empleo</w:t>
      </w:r>
    </w:p>
    <w:p w14:paraId="0F2D0D0A"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4E59F9BF" w14:textId="05806C4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fomento a la autogeneración solar a pequeña escala tiene un impacto directo y positivo en la creación de empleo. El crecimiento de la capacidad instalada de generación distribuida ya ha impulsado la creación de miles de empleos directos e indirectos, principalmente en las áreas de instalación y mantenimiento de los sistemas fotovoltaicos</w:t>
      </w:r>
      <w:r w:rsidR="00EB279D">
        <w:rPr>
          <w:rStyle w:val="Refdenotaalpie"/>
          <w:rFonts w:ascii="Calibri" w:eastAsia="Google Sans Text" w:hAnsi="Calibri" w:cs="Calibri"/>
          <w:color w:val="1B1C1D"/>
          <w:kern w:val="0"/>
          <w:lang w:eastAsia="es-CO"/>
          <w14:ligatures w14:val="none"/>
        </w:rPr>
        <w:footnoteReference w:id="12"/>
      </w:r>
      <w:r w:rsidRPr="00B6180A">
        <w:rPr>
          <w:rFonts w:ascii="Calibri" w:eastAsia="Google Sans Text" w:hAnsi="Calibri" w:cs="Calibri"/>
          <w:color w:val="1B1C1D"/>
          <w:kern w:val="0"/>
          <w:lang w:eastAsia="es-CO"/>
          <w14:ligatures w14:val="none"/>
        </w:rPr>
        <w:t>. El enfoque del PL en los micronegocios y las comunidades, complementado con la cofinanciación estatal, activará un mercado que hoy está en etapas incipientes, fomentando un desarrollo económico descentralizado en las regiones.</w:t>
      </w:r>
    </w:p>
    <w:p w14:paraId="6CCEE84E" w14:textId="3CD3B8C4"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Además de la generación de empleo, la promoción de la industria local de instalación y mantenimiento a largo plazo fomenta la formación de talento técnico especializado, lo que fortalece las capacidades productivas del país. Programas de capacitación como los Laboratorios ACTEC del FENOGE ya están alineados con esta visión, creando una cadena de valor que va desde la fabricación hasta la operación de los sistemas</w:t>
      </w:r>
      <w:r w:rsidR="001D15EB">
        <w:rPr>
          <w:rStyle w:val="Refdenotaalpie"/>
          <w:rFonts w:ascii="Calibri" w:eastAsia="Google Sans Text" w:hAnsi="Calibri" w:cs="Calibri"/>
          <w:color w:val="1B1C1D"/>
          <w:kern w:val="0"/>
          <w:lang w:eastAsia="es-CO"/>
          <w14:ligatures w14:val="none"/>
        </w:rPr>
        <w:footnoteReference w:id="13"/>
      </w:r>
      <w:r w:rsidRPr="00B6180A">
        <w:rPr>
          <w:rFonts w:ascii="Calibri" w:eastAsia="Google Sans Text" w:hAnsi="Calibri" w:cs="Calibri"/>
          <w:color w:val="1B1C1D"/>
          <w:kern w:val="0"/>
          <w:lang w:eastAsia="es-CO"/>
          <w14:ligatures w14:val="none"/>
        </w:rPr>
        <w:t>.</w:t>
      </w:r>
    </w:p>
    <w:p w14:paraId="58B2E2F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61B9BD20" w14:textId="7FFE5370"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Eficiencia Fiscal y Finanzas Públicas</w:t>
      </w:r>
    </w:p>
    <w:p w14:paraId="2D995296"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6E0215C9" w14:textId="10140AAA"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Un beneficio fiscal crucial del Proyecto de Ley es su enfoque innovador en la financiación. El </w:t>
      </w:r>
      <w:r w:rsidRPr="00B6180A">
        <w:rPr>
          <w:rFonts w:ascii="Calibri" w:eastAsia="Google Sans Text" w:hAnsi="Calibri" w:cs="Calibri"/>
          <w:color w:val="1B1C1D"/>
          <w:kern w:val="0"/>
          <w:lang w:eastAsia="es-CO"/>
          <w14:ligatures w14:val="none"/>
        </w:rPr>
        <w:lastRenderedPageBreak/>
        <w:t>modelo propuesto sustituye los subsidios de consumo de energía, que son un gasto recurrente y constante para el Presupuesto General de la Nación, por una inversión de capital única en activos productivos (paneles solares) para los usuarios. Esta inversión inicial se traduce en un ahorro fiscal anual para el Fondo de Solidaridad del sector eléctrico, ya que los usuarios beneficiados reducen o eliminan su dependencia de los subsidios.</w:t>
      </w:r>
    </w:p>
    <w:p w14:paraId="610AC34B" w14:textId="6BE9D29A"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Este enfoque representa una solución fiscalmente más sostenible y permanente. Mientras los subsidios tradicionales son un gasto que se renueva cada vigencia, la inversión en infraestructura solar es un gasto de capital que genera un ahorro de flujo de caja para el Estado y un activo productivo con una vida útil de alrededor de 20 años para el beneficiario.</w:t>
      </w:r>
    </w:p>
    <w:p w14:paraId="74F2F713" w14:textId="04415CA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27FD8426" w14:textId="0AA3E82E"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Identificación de Riesgos Implícitos y Desafíos</w:t>
      </w:r>
    </w:p>
    <w:p w14:paraId="38DA6A1B"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2E2550B9" w14:textId="7B9AC349"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Riesgos de la Masificación para el Sistema Eléctrico Nacional (SIN)</w:t>
      </w:r>
    </w:p>
    <w:p w14:paraId="6896848C"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7167E9AA" w14:textId="36698988"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masificación acelerada de la generación distribuida, si no se gestiona adecuadamente, puede generar riesgos técnicos para el Sistema Interconectado Nacional. La conexión de una gran cantidad de pequeños generadores sin una red de distribución adaptada puede causar problemas de calidad y estabilidad, como variaciones de tensión e inversiones en el flujo de potencia</w:t>
      </w:r>
      <w:r w:rsidR="001D15EB">
        <w:rPr>
          <w:rStyle w:val="Refdenotaalpie"/>
          <w:rFonts w:ascii="Calibri" w:eastAsia="Google Sans Text" w:hAnsi="Calibri" w:cs="Calibri"/>
          <w:color w:val="1B1C1D"/>
          <w:kern w:val="0"/>
          <w:lang w:eastAsia="es-CO"/>
          <w14:ligatures w14:val="none"/>
        </w:rPr>
        <w:footnoteReference w:id="14"/>
      </w:r>
      <w:r w:rsidRPr="00B6180A">
        <w:rPr>
          <w:rFonts w:ascii="Calibri" w:eastAsia="Google Sans Text" w:hAnsi="Calibri" w:cs="Calibri"/>
          <w:color w:val="1B1C1D"/>
          <w:kern w:val="0"/>
          <w:lang w:eastAsia="es-CO"/>
          <w14:ligatures w14:val="none"/>
        </w:rPr>
        <w:t xml:space="preserve"> </w:t>
      </w:r>
      <w:r w:rsidR="001D15EB">
        <w:rPr>
          <w:rStyle w:val="Refdenotaalpie"/>
          <w:rFonts w:ascii="Calibri" w:eastAsia="Google Sans Text" w:hAnsi="Calibri" w:cs="Calibri"/>
          <w:color w:val="1B1C1D"/>
          <w:kern w:val="0"/>
          <w:lang w:eastAsia="es-CO"/>
          <w14:ligatures w14:val="none"/>
        </w:rPr>
        <w:footnoteReference w:id="15"/>
      </w:r>
      <w:r w:rsidRPr="00B6180A">
        <w:rPr>
          <w:rFonts w:ascii="Calibri" w:eastAsia="Google Sans Text" w:hAnsi="Calibri" w:cs="Calibri"/>
          <w:color w:val="1B1C1D"/>
          <w:kern w:val="0"/>
          <w:lang w:eastAsia="es-CO"/>
          <w14:ligatures w14:val="none"/>
        </w:rPr>
        <w:t>. Un informe de la industria y de la UPME ha advertido que, a pesar del gran número de proyectos en lista de espera, los cuellos de botella en la infraestructura de transmisión y distribución siguen siendo un limitante para la conexión efectiva de la nueva capacidad</w:t>
      </w:r>
      <w:r w:rsidR="001D15EB">
        <w:rPr>
          <w:rStyle w:val="Refdenotaalpie"/>
          <w:rFonts w:ascii="Calibri" w:eastAsia="Google Sans Text" w:hAnsi="Calibri" w:cs="Calibri"/>
          <w:color w:val="1B1C1D"/>
          <w:kern w:val="0"/>
          <w:lang w:eastAsia="es-CO"/>
          <w14:ligatures w14:val="none"/>
        </w:rPr>
        <w:footnoteReference w:id="16"/>
      </w:r>
      <w:r w:rsidRPr="00B6180A">
        <w:rPr>
          <w:rFonts w:ascii="Calibri" w:eastAsia="Google Sans Text" w:hAnsi="Calibri" w:cs="Calibri"/>
          <w:color w:val="1B1C1D"/>
          <w:kern w:val="0"/>
          <w:lang w:eastAsia="es-CO"/>
          <w14:ligatures w14:val="none"/>
        </w:rPr>
        <w:t xml:space="preserve"> </w:t>
      </w:r>
      <w:r w:rsidR="001D15EB">
        <w:rPr>
          <w:rStyle w:val="Refdenotaalpie"/>
          <w:rFonts w:ascii="Calibri" w:eastAsia="Google Sans Text" w:hAnsi="Calibri" w:cs="Calibri"/>
          <w:color w:val="1B1C1D"/>
          <w:kern w:val="0"/>
          <w:lang w:eastAsia="es-CO"/>
          <w14:ligatures w14:val="none"/>
        </w:rPr>
        <w:footnoteReference w:id="17"/>
      </w:r>
      <w:r w:rsidR="001D15EB">
        <w:rPr>
          <w:rFonts w:ascii="Calibri" w:eastAsia="Google Sans Text" w:hAnsi="Calibri" w:cs="Calibri"/>
          <w:color w:val="1B1C1D"/>
          <w:kern w:val="0"/>
          <w:lang w:eastAsia="es-CO"/>
          <w14:ligatures w14:val="none"/>
        </w:rPr>
        <w:t xml:space="preserve"> </w:t>
      </w:r>
      <w:r w:rsidR="001D15EB">
        <w:rPr>
          <w:rStyle w:val="Refdenotaalpie"/>
          <w:rFonts w:ascii="Calibri" w:eastAsia="Google Sans Text" w:hAnsi="Calibri" w:cs="Calibri"/>
          <w:color w:val="1B1C1D"/>
          <w:kern w:val="0"/>
          <w:lang w:eastAsia="es-CO"/>
          <w14:ligatures w14:val="none"/>
        </w:rPr>
        <w:footnoteReference w:id="18"/>
      </w:r>
      <w:r w:rsidRPr="00B6180A">
        <w:rPr>
          <w:rFonts w:ascii="Calibri" w:eastAsia="Google Sans Text" w:hAnsi="Calibri" w:cs="Calibri"/>
          <w:color w:val="1B1C1D"/>
          <w:kern w:val="0"/>
          <w:lang w:eastAsia="es-CO"/>
          <w14:ligatures w14:val="none"/>
        </w:rPr>
        <w:t>.</w:t>
      </w:r>
    </w:p>
    <w:p w14:paraId="3A7C13CC" w14:textId="464AFFF8"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Proyecto de Ley propone plazos drásticamente cortos para la viabilidad técnica (9 días hábiles) y la instalación del medidor (10 días adicionales)</w:t>
      </w:r>
      <w:r w:rsidR="001D15E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 xml:space="preserve"> El cumplimiento de estos plazos podría ser inviable para los Operadores de Red si no cuentan con la inversión y los procesos necesarios para evaluar de manera eficiente la capacidad de alojamiento de cada circuito. Una posible consecuencia de esta desconexión entre el mandato legal y la capacidad operativa es que los ORs sistemáticamente incumplan la ley, lo que llevaría a litigios, o que se aprueben conexiones que comprometan la estabilidad técnica de la red</w:t>
      </w:r>
      <w:r w:rsidR="001D15EB">
        <w:rPr>
          <w:rStyle w:val="Refdenotaalpie"/>
          <w:rFonts w:ascii="Calibri" w:eastAsia="Google Sans Text" w:hAnsi="Calibri" w:cs="Calibri"/>
          <w:color w:val="1B1C1D"/>
          <w:kern w:val="0"/>
          <w:lang w:eastAsia="es-CO"/>
          <w14:ligatures w14:val="none"/>
        </w:rPr>
        <w:footnoteReference w:id="19"/>
      </w:r>
      <w:r w:rsidRPr="00B6180A">
        <w:rPr>
          <w:rFonts w:ascii="Calibri" w:eastAsia="Google Sans Text" w:hAnsi="Calibri" w:cs="Calibri"/>
          <w:color w:val="1B1C1D"/>
          <w:kern w:val="0"/>
          <w:lang w:eastAsia="es-CO"/>
          <w14:ligatures w14:val="none"/>
        </w:rPr>
        <w:t>.</w:t>
      </w:r>
    </w:p>
    <w:p w14:paraId="4510487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1CB8980F" w14:textId="57AE6C83"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lastRenderedPageBreak/>
        <w:t>Conflictos y Desafíos Regulatorios y Operativos</w:t>
      </w:r>
    </w:p>
    <w:p w14:paraId="70AE2BF9"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64D9D5F5" w14:textId="7F61E5B5"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Un riesgo significativo del proyecto es la superposición normativa que introduce. El articulado define y regula figuras como balance neto, comunidades energéticas simplificadas y Autogeneradores a Pequeña Escala (AGPE) con un umbral de 100 kW. Estas figuras ya están reguladas por resoluciones de la CREG, las cuales han sido elaboradas con un profundo análisis técnico y de mercado. Por ejemplo, la Resolución CREG 174 de 2021 ya distingue entre AGPEs con capacidad menor y mayor a 100 kW y ha definido los mecanismos de compensación de excedentes</w:t>
      </w:r>
      <w:r w:rsidR="00CF0350">
        <w:rPr>
          <w:rStyle w:val="Refdenotaalpie"/>
          <w:rFonts w:ascii="Calibri" w:eastAsia="Google Sans Text" w:hAnsi="Calibri" w:cs="Calibri"/>
          <w:color w:val="1B1C1D"/>
          <w:kern w:val="0"/>
          <w:lang w:eastAsia="es-CO"/>
          <w14:ligatures w14:val="none"/>
        </w:rPr>
        <w:footnoteReference w:id="20"/>
      </w:r>
      <w:r w:rsidRPr="00B6180A">
        <w:rPr>
          <w:rFonts w:ascii="Calibri" w:eastAsia="Google Sans Text" w:hAnsi="Calibri" w:cs="Calibri"/>
          <w:color w:val="1B1C1D"/>
          <w:kern w:val="0"/>
          <w:lang w:eastAsia="es-CO"/>
          <w14:ligatures w14:val="none"/>
        </w:rPr>
        <w:t>.</w:t>
      </w:r>
    </w:p>
    <w:p w14:paraId="13F2046E" w14:textId="0E5114E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coexistencia de una ley general y una regulación técnica específica que abordan los mismos temas genera incertidumbre jurídica y operacional. Un marco legal más efectivo sería uno que reconociera, fortaleciera y mandatara a la regulación técnica existente, en lugar de intentar regular el detalle en el texto de la ley. Esto evitaría posibles conflictos de competencia entre el Congreso y la CREG, una entidad técnica con funciones regulatorias constitucionales. Un ejemplo de esto es la figura de las comunidades energéticas, que si bien fue introducida por la Ley 2099, su operatividad ha sido desarrollada por resoluciones de la CREG, las cuales el PL podría desviar de su objetivo</w:t>
      </w:r>
      <w:r w:rsidR="00CF0350">
        <w:rPr>
          <w:rStyle w:val="Refdenotaalpie"/>
          <w:rFonts w:ascii="Calibri" w:eastAsia="Google Sans Text" w:hAnsi="Calibri" w:cs="Calibri"/>
          <w:color w:val="1B1C1D"/>
          <w:kern w:val="0"/>
          <w:lang w:eastAsia="es-CO"/>
          <w14:ligatures w14:val="none"/>
        </w:rPr>
        <w:footnoteReference w:id="21"/>
      </w:r>
      <w:r w:rsidRPr="00B6180A">
        <w:rPr>
          <w:rFonts w:ascii="Calibri" w:eastAsia="Google Sans Text" w:hAnsi="Calibri" w:cs="Calibri"/>
          <w:color w:val="1B1C1D"/>
          <w:kern w:val="0"/>
          <w:lang w:eastAsia="es-CO"/>
          <w14:ligatures w14:val="none"/>
        </w:rPr>
        <w:t>.</w:t>
      </w:r>
    </w:p>
    <w:p w14:paraId="46A09D11"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1AB67C5B" w14:textId="69C6EE58"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Riesgos Económicos y Sociales no Previstos: El Dilema del Subsidio Cruzado (</w:t>
      </w:r>
      <w:r w:rsidRPr="00B6180A">
        <w:rPr>
          <w:rFonts w:ascii="Calibri" w:eastAsia="Google Sans Text" w:hAnsi="Calibri" w:cs="Calibri"/>
          <w:b/>
          <w:i/>
          <w:color w:val="1B1C1D"/>
          <w:kern w:val="0"/>
          <w:lang w:eastAsia="es-CO"/>
          <w14:ligatures w14:val="none"/>
        </w:rPr>
        <w:t>Cost-Shift</w:t>
      </w:r>
      <w:r w:rsidRPr="00B6180A">
        <w:rPr>
          <w:rFonts w:ascii="Calibri" w:eastAsia="Google Sans Text" w:hAnsi="Calibri" w:cs="Calibri"/>
          <w:b/>
          <w:color w:val="1B1C1D"/>
          <w:kern w:val="0"/>
          <w:lang w:eastAsia="es-CO"/>
          <w14:ligatures w14:val="none"/>
        </w:rPr>
        <w:t>)</w:t>
      </w:r>
    </w:p>
    <w:p w14:paraId="65CD671A"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13F94B8E" w14:textId="0FB28F65"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propuesta de balance neto en el proyecto de ley, que permite a los autogeneradores compensar su consumo con la energía que inyectan a la red, si bien es un gran incentivo, podría generar un problema de equidad a largo plazo. La tarifa de energía en Colombia incluye componentes fijos (costos de red, comercialización, pérdidas) que se pagan por kWh consumido y que son cruciales para el sostenimiento de la infraestructura y para el esquema de subsidios cruzados que beneficia a los estratos bajos.</w:t>
      </w:r>
    </w:p>
    <w:p w14:paraId="5DD44AC5" w14:textId="67CD683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A medida que los usuarios con paneles solares reducen su consumo de la red (especialmente durante el día) y, por lo tanto, su pago de estos cargos fijos, los costos de operación y mantenimiento de la red no desaparecen. Estos costos se trasladan a la base de usuarios restantes, en su mayoría aquellos de estratos 1 y 2 que no pueden permitirse la inversión en paneles solares</w:t>
      </w:r>
      <w:r w:rsidR="00CF0350">
        <w:rPr>
          <w:rStyle w:val="Refdenotaalpie"/>
          <w:rFonts w:ascii="Calibri" w:eastAsia="Google Sans Text" w:hAnsi="Calibri" w:cs="Calibri"/>
          <w:color w:val="1B1C1D"/>
          <w:kern w:val="0"/>
          <w:lang w:eastAsia="es-CO"/>
          <w14:ligatures w14:val="none"/>
        </w:rPr>
        <w:footnoteReference w:id="22"/>
      </w:r>
      <w:r w:rsidRPr="00B6180A">
        <w:rPr>
          <w:rFonts w:ascii="Calibri" w:eastAsia="Google Sans Text" w:hAnsi="Calibri" w:cs="Calibri"/>
          <w:color w:val="1B1C1D"/>
          <w:kern w:val="0"/>
          <w:lang w:eastAsia="es-CO"/>
          <w14:ligatures w14:val="none"/>
        </w:rPr>
        <w:t xml:space="preserve">. Esta dinámica, bien documentada en experiencias como la de California, crea un subsidio cruzado </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invertido</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 xml:space="preserve"> donde los usuarios más vulnerables terminan pagando más para sostener la misma infraestructura que utilizan los autogeneradores más pudientes. Aunque el PL busca mitigar la pobreza energética, podría inadvertidamente empeorar la situación de los no autogeneradores si no se aborda este problema con un modelo de balance neto que diferencie </w:t>
      </w:r>
      <w:r w:rsidRPr="00B6180A">
        <w:rPr>
          <w:rFonts w:ascii="Calibri" w:eastAsia="Google Sans Text" w:hAnsi="Calibri" w:cs="Calibri"/>
          <w:color w:val="1B1C1D"/>
          <w:kern w:val="0"/>
          <w:lang w:eastAsia="es-CO"/>
          <w14:ligatures w14:val="none"/>
        </w:rPr>
        <w:lastRenderedPageBreak/>
        <w:t>la compensación por la energía de los costos de la red.</w:t>
      </w:r>
    </w:p>
    <w:p w14:paraId="34454CA5" w14:textId="4E24BBB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619A310D" w14:textId="05BE2DD3"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Marco Normativo Colombiano y Experiencias Internacionales</w:t>
      </w:r>
    </w:p>
    <w:p w14:paraId="2E0FC10C"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2D6DBE1B" w14:textId="54CABA03"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Análisis de la Legislación Vigente y su Relación con el PL 273</w:t>
      </w:r>
    </w:p>
    <w:p w14:paraId="6622D5FE"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6178565A" w14:textId="415080E2"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marco regulatorio colombiano para las energías renovables ha evolucionado significativamente en la última década. La Ley 1715 de 2014 sentó las bases al promover el desarrollo de Fuentes No Convencionales de Energía Renovable (FNCER) y establecer incentivos fiscales clave como la deducción en renta, exención de IVA y aranceles y depreciación acelerada</w:t>
      </w:r>
      <w:r w:rsidR="00B64B42">
        <w:rPr>
          <w:rStyle w:val="Refdenotaalpie"/>
          <w:rFonts w:ascii="Calibri" w:eastAsia="Google Sans Text" w:hAnsi="Calibri" w:cs="Calibri"/>
          <w:color w:val="1B1C1D"/>
          <w:kern w:val="0"/>
          <w:lang w:eastAsia="es-CO"/>
          <w14:ligatures w14:val="none"/>
        </w:rPr>
        <w:footnoteReference w:id="23"/>
      </w:r>
      <w:r w:rsidRPr="00B6180A">
        <w:rPr>
          <w:rFonts w:ascii="Calibri" w:eastAsia="Google Sans Text" w:hAnsi="Calibri" w:cs="Calibri"/>
          <w:color w:val="1B1C1D"/>
          <w:kern w:val="0"/>
          <w:lang w:eastAsia="es-CO"/>
          <w14:ligatures w14:val="none"/>
        </w:rPr>
        <w:t>. Posteriormente, la Ley 2099 de 2021 actualizó este marco, declaró la transición energética como política de Estado e introdujo figuras como las comunidades energéticas y el hidrógeno como un nuevo vector energético</w:t>
      </w:r>
      <w:r w:rsidR="00B64B42">
        <w:rPr>
          <w:rStyle w:val="Refdenotaalpie"/>
          <w:rFonts w:ascii="Calibri" w:eastAsia="Google Sans Text" w:hAnsi="Calibri" w:cs="Calibri"/>
          <w:color w:val="1B1C1D"/>
          <w:kern w:val="0"/>
          <w:lang w:eastAsia="es-CO"/>
          <w14:ligatures w14:val="none"/>
        </w:rPr>
        <w:footnoteReference w:id="24"/>
      </w:r>
      <w:r w:rsidRPr="00B6180A">
        <w:rPr>
          <w:rFonts w:ascii="Calibri" w:eastAsia="Google Sans Text" w:hAnsi="Calibri" w:cs="Calibri"/>
          <w:color w:val="1B1C1D"/>
          <w:kern w:val="0"/>
          <w:lang w:eastAsia="es-CO"/>
          <w14:ligatures w14:val="none"/>
        </w:rPr>
        <w:t>. La CREG, en su rol regulatorio, ha desarrollado estas leyes a través de resoluciones como la 030 de 2018</w:t>
      </w:r>
      <w:r w:rsidR="00B64B42">
        <w:rPr>
          <w:rStyle w:val="Refdenotaalpie"/>
          <w:rFonts w:ascii="Calibri" w:eastAsia="Google Sans Text" w:hAnsi="Calibri" w:cs="Calibri"/>
          <w:color w:val="1B1C1D"/>
          <w:kern w:val="0"/>
          <w:lang w:eastAsia="es-CO"/>
          <w14:ligatures w14:val="none"/>
        </w:rPr>
        <w:footnoteReference w:id="25"/>
      </w:r>
      <w:r w:rsidRPr="00B6180A">
        <w:rPr>
          <w:rFonts w:ascii="Calibri" w:eastAsia="Google Sans Text" w:hAnsi="Calibri" w:cs="Calibri"/>
          <w:color w:val="1B1C1D"/>
          <w:kern w:val="0"/>
          <w:lang w:eastAsia="es-CO"/>
          <w14:ligatures w14:val="none"/>
        </w:rPr>
        <w:t xml:space="preserve"> y la 174 de 2021</w:t>
      </w:r>
      <w:r w:rsidR="00B64B42">
        <w:rPr>
          <w:rStyle w:val="Refdenotaalpie"/>
          <w:rFonts w:ascii="Calibri" w:eastAsia="Google Sans Text" w:hAnsi="Calibri" w:cs="Calibri"/>
          <w:color w:val="1B1C1D"/>
          <w:kern w:val="0"/>
          <w:lang w:eastAsia="es-CO"/>
          <w14:ligatures w14:val="none"/>
        </w:rPr>
        <w:footnoteReference w:id="26"/>
      </w:r>
      <w:r w:rsidRPr="00B6180A">
        <w:rPr>
          <w:rFonts w:ascii="Calibri" w:eastAsia="Google Sans Text" w:hAnsi="Calibri" w:cs="Calibri"/>
          <w:color w:val="1B1C1D"/>
          <w:kern w:val="0"/>
          <w:lang w:eastAsia="es-CO"/>
          <w14:ligatures w14:val="none"/>
        </w:rPr>
        <w:t>, que habilitaron la autogeneración a pequeña escala, el mecanismo de medición neta y la venta de excedentes.</w:t>
      </w:r>
    </w:p>
    <w:p w14:paraId="609595CE" w14:textId="486D31F2"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propuesta del PL 273 no parte de un vacío normativo, sino que busca cerrar las brechas que persisten en la implementación de las leyes y resoluciones existentes. Como se detalla en la siguiente tabla, la iniciativa ataca los puntos débiles identificados en la práctica, como los plazos de conexión poco claros y la operatividad de las comunidades energéticas, que han sido los principales cuellos de botella para la masificación.</w:t>
      </w:r>
    </w:p>
    <w:p w14:paraId="65A0FB3E"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Tabla 1: Comparación de Elementos Clave del PL 273 con la Regulación Vigente</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2340"/>
        <w:gridCol w:w="2340"/>
        <w:gridCol w:w="2340"/>
      </w:tblGrid>
      <w:tr w:rsidR="00B6180A" w:rsidRPr="00B6180A" w14:paraId="14F20625"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BD35994"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Elemento</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6207DBA"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PL 273 de 2025 (Propuesta)</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783FEE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Regulación Existente (Leyes 1715, 2099; Resoluciones CREG)</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DD6651E"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Análisis de la Brecha / Aporte</w:t>
            </w:r>
          </w:p>
        </w:tc>
      </w:tr>
      <w:tr w:rsidR="00B6180A" w:rsidRPr="00B6180A" w14:paraId="08DF3979"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3E26F8B"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Definición de AGPE</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0DDE084" w14:textId="2021F492"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Capacidad instalada igual o inferior a 100 kW.</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AFB0A90" w14:textId="51B04ED8"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CREG 030 de 2018 y UPME 281 de 2015 definen AGPE como &lt; 1MW. CREG 174 de 2021 distingue AGPE &lt; 100kW y &gt;100kW.</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BD0EB4A"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El PL reduce el umbral, lo que podría generar confusión y limitar el alcance de los beneficios. Es vital aclarar esta definición para no </w:t>
            </w:r>
            <w:r w:rsidRPr="00B6180A">
              <w:rPr>
                <w:rFonts w:ascii="Calibri" w:eastAsia="Google Sans Text" w:hAnsi="Calibri" w:cs="Calibri"/>
                <w:color w:val="1B1C1D"/>
                <w:kern w:val="0"/>
                <w:lang w:eastAsia="es-CO"/>
                <w14:ligatures w14:val="none"/>
              </w:rPr>
              <w:lastRenderedPageBreak/>
              <w:t>restringir la capacidad.</w:t>
            </w:r>
          </w:p>
        </w:tc>
      </w:tr>
      <w:tr w:rsidR="00B6180A" w:rsidRPr="00B6180A" w14:paraId="3CBF0010"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6AC8449"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lastRenderedPageBreak/>
              <w:t>Plazos de Conexión</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35BE09A" w14:textId="73CD8B15"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Proceso simplificado con 9 días hábiles para viabilidad técnica y 10 para medidor.</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6C445FF" w14:textId="2F5DA3EF"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CREG 030 estableció 7 días para el estudio de conexión simplificado para AGPE &gt; 100kW, sin plazos claros para la instalación del medidor. La práctica muestra demoras de meses a años.</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2BDF724"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PL propone plazos drásticamente más cortos, abordando el cuello de botella más importante para la masificación. Su éxito dependerá de un mandato fuerte y mecanismos de control.</w:t>
            </w:r>
          </w:p>
        </w:tc>
      </w:tr>
      <w:tr w:rsidR="00B6180A" w:rsidRPr="00B6180A" w14:paraId="132D55E5"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6723371"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Balance Neto</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62C306B" w14:textId="3666D2A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Medición en kWh, saldo acumulable mensualmente, caducidad de 12 meses y monetización al retiro.</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84A65D1" w14:textId="21AD224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CREG 030 y 174 establecen un sistema de </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créditos de energía</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 xml:space="preserve"> que se permutan con el consumo. Los excedentes que superan el consumo se valoran al precio de bolsa. No hay un plazo explícito de caducidad en la regulación madre.</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930E0CF"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PL busca simplificar y definir el plazo de caducidad, lo que le da claridad al usuario final, pero debe ser compatible con la valoración de excedentes establecida por la CREG.</w:t>
            </w:r>
          </w:p>
        </w:tc>
      </w:tr>
      <w:tr w:rsidR="00B6180A" w:rsidRPr="00B6180A" w14:paraId="7D2C5FB9"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D44ECDC"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Comunidades Energéticas</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83F9660" w14:textId="0A098339"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Autorización y definición de </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Comunidades Energéticas Simplificadas</w:t>
            </w:r>
            <w:r w:rsidR="00F7404B">
              <w:rPr>
                <w:rFonts w:ascii="Calibri" w:eastAsia="Google Sans Text" w:hAnsi="Calibri" w:cs="Calibri"/>
                <w:color w:val="1B1C1D"/>
                <w:kern w:val="0"/>
                <w:lang w:eastAsia="es-CO"/>
                <w14:ligatures w14:val="none"/>
              </w:rPr>
              <w:t>”</w:t>
            </w:r>
            <w:r w:rsidRPr="00B6180A">
              <w:rPr>
                <w:rFonts w:ascii="Calibri" w:eastAsia="Google Sans Text" w:hAnsi="Calibri" w:cs="Calibri"/>
                <w:color w:val="1B1C1D"/>
                <w:kern w:val="0"/>
                <w:lang w:eastAsia="es-CO"/>
                <w14:ligatures w14:val="none"/>
              </w:rPr>
              <w:t xml:space="preserve"> (hasta 200 kW) con facturación colectiva y prorrateo.</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A78D4A3" w14:textId="29FBCB5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Ley 2099 introdujo la figura. La CREG ha emitido una resolución para regularlas y habilitar su implementación.</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8826368"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PL reafirma la importancia de las comunidades energéticas a nivel legal, lo que le da mayor peso a la figura. El desafío es armonizar su definición con la ya emitida por el regulador técnico.</w:t>
            </w:r>
          </w:p>
        </w:tc>
      </w:tr>
    </w:tbl>
    <w:p w14:paraId="2A613F5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6FC774EC" w14:textId="74AC98C5"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Lecciones de la Medición Neta (</w:t>
      </w:r>
      <w:r w:rsidRPr="00B6180A">
        <w:rPr>
          <w:rFonts w:ascii="Calibri" w:eastAsia="Google Sans Text" w:hAnsi="Calibri" w:cs="Calibri"/>
          <w:b/>
          <w:i/>
          <w:color w:val="1B1C1D"/>
          <w:kern w:val="0"/>
          <w:lang w:eastAsia="es-CO"/>
          <w14:ligatures w14:val="none"/>
        </w:rPr>
        <w:t>Net Metering</w:t>
      </w:r>
      <w:r w:rsidRPr="00B6180A">
        <w:rPr>
          <w:rFonts w:ascii="Calibri" w:eastAsia="Google Sans Text" w:hAnsi="Calibri" w:cs="Calibri"/>
          <w:b/>
          <w:color w:val="1B1C1D"/>
          <w:kern w:val="0"/>
          <w:lang w:eastAsia="es-CO"/>
          <w14:ligatures w14:val="none"/>
        </w:rPr>
        <w:t>) en California</w:t>
      </w:r>
    </w:p>
    <w:p w14:paraId="51DD61CB"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34FD7D7E" w14:textId="37DF8E48"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experiencia de California con la política de medición neta (Net Metering) ofrece lecciones valiosas para Colombia. El modelo inicial (NEM 1.0) incentivó la adopción de la energía solar en techos al ofrecer un crédito de 1:1 por cada kWh inyectado a la red, compensando el consumo al mismo precio que el usuario pagaba por la energía. Este esquema generó una rápida adopción, pero también creó un problema de subsidio cruzado, ya que los costos de la red (operación, mantenimiento y subsidios) se trasladaron a los usuarios no solares.</w:t>
      </w:r>
    </w:p>
    <w:p w14:paraId="7BC40EF4" w14:textId="50076C70"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Para corregir esta inequidad, California transicionó al modelo Net Billing Tariff (NBT), donde la compensación por los excedentes se basa en tarifas horarias que reflejan la demanda del mercado y la necesidad de la red, y no en el precio de venta al público. La compensación ya no es de 1:1. Esta transición generó incertidumbre regulatoria y conflictos, pero buscó abordar la cuestión de la equidad. La lección para Colombia es que una política inicial muy generosa, si bien acelera la adopción, puede crear distorsiones de mercado y problemas de equidad a largo plazo, obligando a reformas impopulares que afectan la viabilidad de las inversiones.</w:t>
      </w:r>
    </w:p>
    <w:p w14:paraId="2B7EB21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3682AAD1" w14:textId="3F891014"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Modelos de Fomento a la Generación Distribuida en Europa</w:t>
      </w:r>
    </w:p>
    <w:p w14:paraId="4DDFEFF0"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2304A620" w14:textId="33D37832"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Europa, y en particular Alemania, ha sido pionera en el fomento de la generación distribuida. Alemania implementó un modelo de tarifa de alimentación (Feed-in Tariff o FIT), que garantizaba un precio premium por toda la energía inyectada a la red por un período de 20 años</w:t>
      </w:r>
      <w:r w:rsidR="00EF2C17">
        <w:rPr>
          <w:rStyle w:val="Refdenotaalpie"/>
          <w:rFonts w:ascii="Calibri" w:eastAsia="Google Sans Text" w:hAnsi="Calibri" w:cs="Calibri"/>
          <w:color w:val="1B1C1D"/>
          <w:kern w:val="0"/>
          <w:lang w:eastAsia="es-CO"/>
          <w14:ligatures w14:val="none"/>
        </w:rPr>
        <w:footnoteReference w:id="27"/>
      </w:r>
      <w:r w:rsidR="00EF2C17">
        <w:rPr>
          <w:rFonts w:ascii="Calibri" w:eastAsia="Google Sans Text" w:hAnsi="Calibri" w:cs="Calibri"/>
          <w:color w:val="1B1C1D"/>
          <w:kern w:val="0"/>
          <w:lang w:eastAsia="es-CO"/>
          <w14:ligatures w14:val="none"/>
        </w:rPr>
        <w:t xml:space="preserve"> </w:t>
      </w:r>
      <w:r w:rsidR="00EF2C17">
        <w:rPr>
          <w:rStyle w:val="Refdenotaalpie"/>
          <w:rFonts w:ascii="Calibri" w:eastAsia="Google Sans Text" w:hAnsi="Calibri" w:cs="Calibri"/>
          <w:color w:val="1B1C1D"/>
          <w:kern w:val="0"/>
          <w:lang w:eastAsia="es-CO"/>
          <w14:ligatures w14:val="none"/>
        </w:rPr>
        <w:footnoteReference w:id="28"/>
      </w:r>
      <w:r w:rsidRPr="00B6180A">
        <w:rPr>
          <w:rFonts w:ascii="Calibri" w:eastAsia="Google Sans Text" w:hAnsi="Calibri" w:cs="Calibri"/>
          <w:color w:val="1B1C1D"/>
          <w:kern w:val="0"/>
          <w:lang w:eastAsia="es-CO"/>
          <w14:ligatures w14:val="none"/>
        </w:rPr>
        <w:t>. Este modelo masificó la energía solar, redujo los costos de la tecnología a nivel global y creó un mercado robusto</w:t>
      </w:r>
      <w:r w:rsidR="00EF2C17">
        <w:rPr>
          <w:rStyle w:val="Refdenotaalpie"/>
          <w:rFonts w:ascii="Calibri" w:eastAsia="Google Sans Text" w:hAnsi="Calibri" w:cs="Calibri"/>
          <w:color w:val="1B1C1D"/>
          <w:kern w:val="0"/>
          <w:lang w:eastAsia="es-CO"/>
          <w14:ligatures w14:val="none"/>
        </w:rPr>
        <w:footnoteReference w:id="29"/>
      </w:r>
      <w:r w:rsidRPr="00B6180A">
        <w:rPr>
          <w:rFonts w:ascii="Calibri" w:eastAsia="Google Sans Text" w:hAnsi="Calibri" w:cs="Calibri"/>
          <w:color w:val="1B1C1D"/>
          <w:kern w:val="0"/>
          <w:lang w:eastAsia="es-CO"/>
          <w14:ligatures w14:val="none"/>
        </w:rPr>
        <w:t>. Sin embargo, el alto costo de estas tarifas se trasladó a las facturas de todos los consumidores, lo que llevó al gobierno a migrar hacia un modelo más enfocado en el autoconsumo. La experiencia alemana resalta que la masificación de la generación distribuida requiere grandes inversiones en la red para poder acomodar y gestionar el nuevo flujo de energía</w:t>
      </w:r>
      <w:r w:rsidR="00EF2C17">
        <w:rPr>
          <w:rStyle w:val="Refdenotaalpie"/>
          <w:rFonts w:ascii="Calibri" w:eastAsia="Google Sans Text" w:hAnsi="Calibri" w:cs="Calibri"/>
          <w:color w:val="1B1C1D"/>
          <w:kern w:val="0"/>
          <w:lang w:eastAsia="es-CO"/>
          <w14:ligatures w14:val="none"/>
        </w:rPr>
        <w:footnoteReference w:id="30"/>
      </w:r>
      <w:r w:rsidR="00EF2C17">
        <w:rPr>
          <w:rFonts w:ascii="Calibri" w:eastAsia="Google Sans Text" w:hAnsi="Calibri" w:cs="Calibri"/>
          <w:color w:val="1B1C1D"/>
          <w:kern w:val="0"/>
          <w:lang w:eastAsia="es-CO"/>
          <w14:ligatures w14:val="none"/>
        </w:rPr>
        <w:t>.</w:t>
      </w:r>
    </w:p>
    <w:p w14:paraId="0465EE99" w14:textId="2A791CA3"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Por otro lado, la Unión Europea y países como España han desarrollado marcos normativos específicos para las Comunidades de Energías Renovables (CER) y las Comunidades Ciudadanas de Energía (CCE). Estos marcos regulan aspectos de gobernanza, como la participación voluntaria y democrática de los miembros, lo que ha facilitado la adopción de modelos colectivos. El concepto de Comunidad Energética Simplificada en el PL 273 es un paso en la dirección correcta, </w:t>
      </w:r>
      <w:r w:rsidRPr="00B6180A">
        <w:rPr>
          <w:rFonts w:ascii="Calibri" w:eastAsia="Google Sans Text" w:hAnsi="Calibri" w:cs="Calibri"/>
          <w:color w:val="1B1C1D"/>
          <w:kern w:val="0"/>
          <w:lang w:eastAsia="es-CO"/>
          <w14:ligatures w14:val="none"/>
        </w:rPr>
        <w:lastRenderedPageBreak/>
        <w:t>pero se beneficiaría de un marco de gobernanza más robusto que evite conflictos y garantice la transparencia.</w:t>
      </w:r>
    </w:p>
    <w:p w14:paraId="557F164F"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Tabla 2: Síntesis de Experiencias Internacionales en Generación Distribuida</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2340"/>
        <w:gridCol w:w="2340"/>
        <w:gridCol w:w="2340"/>
      </w:tblGrid>
      <w:tr w:rsidR="00B6180A" w:rsidRPr="00B6180A" w14:paraId="002C7493"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787AD6B"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País / Región</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B1497BE"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Mecanismo de Fomento Principal</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00E44DD"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Aciertos Identificados</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E74C168"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Desafíos y Lecciones para Colombia</w:t>
            </w:r>
          </w:p>
        </w:tc>
      </w:tr>
      <w:tr w:rsidR="00B6180A" w:rsidRPr="00B6180A" w14:paraId="1D866E3F"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480CAF2"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California, EE.UU.</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1BF691D1" w14:textId="034C59CF"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Medición Neta (NEM 1.0) y posterior transición a Net Billing Tariff (NBT).</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D44B001" w14:textId="231DFD58"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Rápida y exitosa adopción de la energía solar en techos, impulsando la transición energética.</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F20EF3B" w14:textId="508CD3B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Riesgo de subsidio cruzado (cost-shift) hacia usuarios no solares, afectando la equidad tarifaria. La transición a NBT generó incertidumbre regulatoria y conflictos.</w:t>
            </w:r>
          </w:p>
        </w:tc>
      </w:tr>
      <w:tr w:rsidR="00B6180A" w:rsidRPr="00B6180A" w14:paraId="042AFB52"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9402920"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Alemania</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D7679FB" w14:textId="45A2ED8B"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Tarifa de Alimentación (FIT).</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532655C" w14:textId="167FD413"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Masificación de la generación renovable, creación de un mercado robusto y reducción de los costos de la tecnología a nivel mundial.</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9671F5C" w14:textId="40F7A9E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Aumento de los costos en la factura para el consumidor final. Necesidad de grandes inversiones en la red de distribución para acomodar la generación.</w:t>
            </w:r>
          </w:p>
        </w:tc>
      </w:tr>
      <w:tr w:rsidR="00B6180A" w:rsidRPr="00B6180A" w14:paraId="13857979" w14:textId="77777777" w:rsidTr="0012380D">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FF825AB"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España y Unión Europea</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DCA09C1" w14:textId="783EDECF"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Diversos modelos de autoconsumo colectivo y figuras de Comunidades Energéticas.</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AE51C08" w14:textId="1EF692C1"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Fomento de la participación ciudadana, la descentralización y la innovación en el sector energético.</w:t>
            </w:r>
          </w:p>
        </w:tc>
        <w:tc>
          <w:tcPr>
            <w:tcW w:w="234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27166E7" w14:textId="7468AAC9"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Lentitud en la aprobación de marcos regulatorios. La complejidad de la gobernanza y los modelos de negocio requiere una regulación clara y adaptable.</w:t>
            </w:r>
          </w:p>
        </w:tc>
      </w:tr>
    </w:tbl>
    <w:p w14:paraId="0291CA5D" w14:textId="77777777" w:rsidR="00B6180A" w:rsidRPr="00B6180A" w:rsidRDefault="004F7508"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Pr>
          <w:rFonts w:ascii="Calibri" w:eastAsia="Arial" w:hAnsi="Calibri" w:cs="Calibri"/>
          <w:noProof/>
          <w:kern w:val="0"/>
          <w:lang w:eastAsia="es-CO"/>
        </w:rPr>
        <w:pict w14:anchorId="65596783">
          <v:rect id="_x0000_i1025" alt="" style="width:441.9pt;height:.05pt;mso-width-percent:0;mso-height-percent:0;mso-width-percent:0;mso-height-percent:0" o:hralign="center" o:hrstd="t" o:hr="t" fillcolor="#a0a0a0" stroked="f"/>
        </w:pict>
      </w:r>
    </w:p>
    <w:p w14:paraId="2E0CF620" w14:textId="70F6469B"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lastRenderedPageBreak/>
        <w:t>Sugerencias de Modificaciones a la Iniciativa</w:t>
      </w:r>
    </w:p>
    <w:p w14:paraId="424B0723"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535DAE91"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Para mitigar los riesgos identificados y fortalecer los beneficios de la iniciativa, se sugieren las siguientes modificaciones al Proyecto de Ley:</w:t>
      </w:r>
    </w:p>
    <w:p w14:paraId="4BFEDD3F"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0B7A9B4C" w14:textId="7C6A94C6"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Aspectos Regulatorios y Técnicos</w:t>
      </w:r>
    </w:p>
    <w:p w14:paraId="79A46B2D"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33B0A2DF" w14:textId="1FDA5BC1"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Es fundamental que el Proyecto de Ley aclare que su función es establecer un marco general y unos objetivos de política pública, dejando las definiciones técnicas y operativas a las entidades especializadas. Se propone la inclusión de un artículo que explícitamente mandate a la CREG y a la UPME a adaptar su regulación en un plazo no mayor a seis meses para cumplir con los objetivos y los plazos perentorios del PL, en lugar de regular el detalle en el texto de la ley. Para asegurar el cumplimiento de los plazos de conexión (9 días hábiles para viabilidad técnica y 10 para medidor), se debe incorporar un régimen de sanciones claras para los Operadores de Red que no los cumplan, con la supervisión de la Superintendencia de Servicios Públicos Domiciliarios. Finalmente, para una planificación efectiva, se recomienda ordenar a la UPME, en colaboración con los ORs, la creación de un registro georreferenciado, público y en tiempo real que muestre la capacidad de alojamiento de la red de distribución. Esto permitiría a usuarios e instaladores identificar la viabilidad de sus proyectos desde la etapa inicial.</w:t>
      </w:r>
    </w:p>
    <w:p w14:paraId="1A6512DD"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3291778F" w14:textId="38047D4D"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Aspectos Económicos y de Facturación</w:t>
      </w:r>
    </w:p>
    <w:p w14:paraId="11A48989"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703D056A" w14:textId="1F47B476"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Para mitigar el riesgo de subsidio cruzado, se propone modificar el Artículo 5 del PL. El mecanismo de compensación debe reconocer y valorar de manera diferenciada los componentes de la tarifa. La compensación a un valor de 1:1 puede ser equitativa para la componente de generación, pero debe separarse de la componente de transporte y distribución. Esto mitiga el riesgo de que los autogeneradores dejen de contribuir al sostenimiento de la red, y alinea los incentivos con la sostenibilidad del sistema. A su vez, se sugiere mantener el Artículo 6 tal como está, ya que la claridad en la factura es una de las principales ganancias de la propuesta, pero especificando que el desglose debe incluir de forma explícita el valor de la energía inyectada, el consumo de la red, los créditos acumulados y la componente de la tarifa que se destina a la red, para educar al usuario y garantizar la transparencia.</w:t>
      </w:r>
    </w:p>
    <w:p w14:paraId="700599A2"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21E3CBDF" w14:textId="28CA60FA" w:rsidR="00B6180A" w:rsidRPr="00B6180A" w:rsidRDefault="00B6180A" w:rsidP="00B6180A">
      <w:pPr>
        <w:widowControl w:val="0"/>
        <w:pBdr>
          <w:top w:val="nil"/>
          <w:left w:val="nil"/>
          <w:bottom w:val="nil"/>
          <w:right w:val="nil"/>
          <w:between w:val="nil"/>
        </w:pBdr>
        <w:spacing w:before="120" w:after="120" w:line="240" w:lineRule="auto"/>
        <w:jc w:val="both"/>
        <w:outlineLvl w:val="3"/>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Aspectos de Financiación y de Gobernanza</w:t>
      </w:r>
    </w:p>
    <w:p w14:paraId="3B10F2C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143E315B" w14:textId="0021A2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El Proyecto de Ley debe formalizar de manera explícita la fuente de financiación del Programa Nacional de Cofinanciación Solar. Se propone que los recursos provengan de fondos existentes como el FENOGE, y que se integren con los ahorros en subsidios que se logran con la </w:t>
      </w:r>
      <w:r w:rsidRPr="00B6180A">
        <w:rPr>
          <w:rFonts w:ascii="Calibri" w:eastAsia="Google Sans Text" w:hAnsi="Calibri" w:cs="Calibri"/>
          <w:color w:val="1B1C1D"/>
          <w:kern w:val="0"/>
          <w:lang w:eastAsia="es-CO"/>
          <w14:ligatures w14:val="none"/>
        </w:rPr>
        <w:lastRenderedPageBreak/>
        <w:t>autosuficiencia energética de los usuarios. Esto refuerza el concepto de que la inversión inicial del Estado es un gasto de capital que genera un ahorro recurrente a largo plazo. En cuanto a la gobernanza, se recomienda mandatar a la CREG la reglamentación de los modelos de gobernanza y participación para las Comunidades Energéticas Simplificadas, siguiendo los principios de la regulación europea, para asegurar la transparencia y la gestión eficiente de los recursos compartidos.</w:t>
      </w:r>
    </w:p>
    <w:p w14:paraId="30F835F8"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Tabla 3: Riesgos Identificados y Sugerencias de Mitigación</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120"/>
        <w:gridCol w:w="3120"/>
        <w:gridCol w:w="3120"/>
      </w:tblGrid>
      <w:tr w:rsidR="00B6180A" w:rsidRPr="00B6180A" w14:paraId="5D646551" w14:textId="77777777" w:rsidTr="0012380D">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D3B30A1"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Riesgo Identificado</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2C5598C"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Análisis de la Causalidad</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8090729"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Sugerencia de Mitigación</w:t>
            </w:r>
          </w:p>
        </w:tc>
      </w:tr>
      <w:tr w:rsidR="00B6180A" w:rsidRPr="00B6180A" w14:paraId="72FD67CB" w14:textId="77777777" w:rsidTr="0012380D">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6F8FC1D2"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Superposición Normativa</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90B769E" w14:textId="25625705"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PL introduce conceptos y umbrales ya regulados por la CREG y la UPME. Esto genera incertidumbre jurídica y posibles conflictos de competencia entre las entidades.</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47D289CD"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Modificar el articulado para que el PL sea un marco general que mandata a la CREG y la UPME la regulación del detalle, con plazos claros.</w:t>
            </w:r>
          </w:p>
        </w:tc>
      </w:tr>
      <w:tr w:rsidR="00B6180A" w:rsidRPr="00B6180A" w14:paraId="10128FD8" w14:textId="77777777" w:rsidTr="0012380D">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7E83CD47"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Incertidumbre en Tiempos de Conexión</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1672AC9" w14:textId="4E16356E"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Los Operadores de Red (ORs) han mostrado demoras de hasta años en los proyectos. El PL propone plazos drásticos (9-10 días) sin un mecanismo que asegure el cumplimiento por parte de las empresas.</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DE11C97"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Establecer un régimen de sanciones explícito para los ORs que no cumplan los plazos. Asignar la supervisión a la Superintendencia de Servicios Públicos Domiciliarios.</w:t>
            </w:r>
          </w:p>
        </w:tc>
      </w:tr>
      <w:tr w:rsidR="00B6180A" w:rsidRPr="00B6180A" w14:paraId="3A3F6C7A" w14:textId="77777777" w:rsidTr="0012380D">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32513C8"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Dilema del Subsidio Cruzado (</w:t>
            </w:r>
            <w:r w:rsidRPr="00B6180A">
              <w:rPr>
                <w:rFonts w:ascii="Calibri" w:eastAsia="Google Sans Text" w:hAnsi="Calibri" w:cs="Calibri"/>
                <w:b/>
                <w:i/>
                <w:color w:val="1B1C1D"/>
                <w:kern w:val="0"/>
                <w:lang w:eastAsia="es-CO"/>
                <w14:ligatures w14:val="none"/>
              </w:rPr>
              <w:t>Cost-Shift</w:t>
            </w:r>
            <w:r w:rsidRPr="00B6180A">
              <w:rPr>
                <w:rFonts w:ascii="Calibri" w:eastAsia="Google Sans Text" w:hAnsi="Calibri" w:cs="Calibri"/>
                <w:b/>
                <w:color w:val="1B1C1D"/>
                <w:kern w:val="0"/>
                <w:lang w:eastAsia="es-CO"/>
                <w14:ligatures w14:val="none"/>
              </w:rPr>
              <w:t>)</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074AFFB" w14:textId="450C98A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compensación de 1:1 reduce el pago de los cargos fijos de la factura. Si los autogeneradores masifican, los costos de la red se trasladan a los usuarios que no pueden instalar paneles, afectando su equidad tarifaria.</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078FFF3D"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Establecer un modelo de balance neto que diferencie la compensación por kWh de energía y por el uso de la red (cargos fijos). La compensación de los excedentes debe reconocer el valor de la energía inyectada, pero no eximir al usuario de su contribución a la infraestructura de la red.</w:t>
            </w:r>
          </w:p>
        </w:tc>
      </w:tr>
      <w:tr w:rsidR="00B6180A" w:rsidRPr="00B6180A" w14:paraId="41A00208" w14:textId="77777777" w:rsidTr="0012380D">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2E314955"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lastRenderedPageBreak/>
              <w:t>Falta de Inversión en Redes</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33D70085" w14:textId="20DFA41A"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La masificación de la generación distribuida sin una modernización simultánea de la infraestructura de baja y media tensión puede causar problemas técnicos de estabilidad y calidad de la energía. Los ORs no tienen suficientes incentivos para hacer estas inversiones rápidamente.</w:t>
            </w:r>
          </w:p>
        </w:tc>
        <w:tc>
          <w:tcPr>
            <w:tcW w:w="3120" w:type="dxa"/>
            <w:tcBorders>
              <w:top w:val="single" w:sz="6" w:space="0" w:color="000000"/>
              <w:left w:val="single" w:sz="6" w:space="0" w:color="000000"/>
              <w:bottom w:val="single" w:sz="6" w:space="0" w:color="000000"/>
              <w:right w:val="single" w:sz="6" w:space="0" w:color="000000"/>
            </w:tcBorders>
            <w:shd w:val="clear" w:color="auto" w:fill="F8FAFD"/>
            <w:tcMar>
              <w:top w:w="120" w:type="dxa"/>
              <w:left w:w="180" w:type="dxa"/>
              <w:bottom w:w="120" w:type="dxa"/>
              <w:right w:w="180" w:type="dxa"/>
            </w:tcMar>
          </w:tcPr>
          <w:p w14:paraId="5A3BC276"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Incluir en el PL un mecanismo que promueva y acelere las inversiones de los ORs en la red de distribución. Esto puede ser a través de la CREG, permitiendo la recuperación de las inversiones o asignando parte de los fondos públicos (FENOGE) a la modernización de la infraestructura en zonas con alto potencial.</w:t>
            </w:r>
          </w:p>
        </w:tc>
      </w:tr>
    </w:tbl>
    <w:p w14:paraId="327ACC97" w14:textId="5E1C1620"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p>
    <w:p w14:paraId="2C0794F9" w14:textId="2714A574" w:rsidR="00B6180A" w:rsidRPr="00B6180A" w:rsidRDefault="00B6180A" w:rsidP="00B6180A">
      <w:pPr>
        <w:widowControl w:val="0"/>
        <w:pBdr>
          <w:top w:val="nil"/>
          <w:left w:val="nil"/>
          <w:bottom w:val="nil"/>
          <w:right w:val="nil"/>
          <w:between w:val="nil"/>
        </w:pBdr>
        <w:spacing w:before="120" w:after="120" w:line="240" w:lineRule="auto"/>
        <w:jc w:val="both"/>
        <w:outlineLvl w:val="2"/>
        <w:rPr>
          <w:rFonts w:ascii="Calibri" w:eastAsia="Google Sans Text" w:hAnsi="Calibri" w:cs="Calibri"/>
          <w:b/>
          <w:color w:val="1B1C1D"/>
          <w:kern w:val="0"/>
          <w:lang w:eastAsia="es-CO"/>
          <w14:ligatures w14:val="none"/>
        </w:rPr>
      </w:pPr>
      <w:r w:rsidRPr="00B6180A">
        <w:rPr>
          <w:rFonts w:ascii="Calibri" w:eastAsia="Google Sans Text" w:hAnsi="Calibri" w:cs="Calibri"/>
          <w:b/>
          <w:color w:val="1B1C1D"/>
          <w:kern w:val="0"/>
          <w:lang w:eastAsia="es-CO"/>
          <w14:ligatures w14:val="none"/>
        </w:rPr>
        <w:t>Conclusión y Recomendación Final</w:t>
      </w:r>
    </w:p>
    <w:p w14:paraId="39EADF50"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b/>
          <w:color w:val="1B1C1D"/>
          <w:kern w:val="0"/>
          <w:lang w:eastAsia="es-CO"/>
          <w14:ligatures w14:val="none"/>
        </w:rPr>
      </w:pPr>
    </w:p>
    <w:p w14:paraId="0285C527" w14:textId="7689B24C"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El Proyecto de Ley 273 de 2025 de Senado es una iniciativa bien intencionada y necesaria que busca consolidar los avances de Colombia en la transición energética, con un enfoque social y equitativo. Sus ventajas potenciales son significativas, incluyendo la reducción de la pobreza energética, la eficiencia fiscal, la mayor resiliencia del sistema y el fomento del empleo local. El proyecto busca formalizar una política de Estado y abordar los obstáculos más urgentes que enfrenta la generación distribuida a pequeña escala, como la incertidumbre regulatoria y la demora en los trámites de conexión.</w:t>
      </w:r>
    </w:p>
    <w:p w14:paraId="60E90869" w14:textId="77777777" w:rsidR="00B6180A" w:rsidRPr="00B6180A" w:rsidRDefault="00B6180A" w:rsidP="00B6180A">
      <w:pPr>
        <w:widowControl w:val="0"/>
        <w:pBdr>
          <w:top w:val="nil"/>
          <w:left w:val="nil"/>
          <w:bottom w:val="nil"/>
          <w:right w:val="nil"/>
          <w:between w:val="nil"/>
        </w:pBdr>
        <w:spacing w:before="120" w:after="120" w:line="240" w:lineRule="auto"/>
        <w:jc w:val="both"/>
        <w:rPr>
          <w:rFonts w:ascii="Calibri" w:eastAsia="Google Sans Text" w:hAnsi="Calibri" w:cs="Calibri"/>
          <w:color w:val="1B1C1D"/>
          <w:kern w:val="0"/>
          <w:lang w:eastAsia="es-CO"/>
          <w14:ligatures w14:val="none"/>
        </w:rPr>
      </w:pPr>
      <w:r w:rsidRPr="00B6180A">
        <w:rPr>
          <w:rFonts w:ascii="Calibri" w:eastAsia="Google Sans Text" w:hAnsi="Calibri" w:cs="Calibri"/>
          <w:color w:val="1B1C1D"/>
          <w:kern w:val="0"/>
          <w:lang w:eastAsia="es-CO"/>
          <w14:ligatures w14:val="none"/>
        </w:rPr>
        <w:t xml:space="preserve">No obstante, la propuesta requiere un trabajo legislativo cuidadoso para mitigar los riesgos identificados, especialmente la superposición normativa y el potencial de un subsidio cruzado regresivo. Sin estas modificaciones, la iniciativa podría generar una implementación caótica, litigios y, en el peor de los casos, agravar las inequidades tarifarias que busca resolver. Por lo tanto, se recomienda la </w:t>
      </w:r>
      <w:r w:rsidRPr="00B6180A">
        <w:rPr>
          <w:rFonts w:ascii="Calibri" w:eastAsia="Google Sans Text" w:hAnsi="Calibri" w:cs="Calibri"/>
          <w:b/>
          <w:color w:val="1B1C1D"/>
          <w:kern w:val="0"/>
          <w:lang w:eastAsia="es-CO"/>
          <w14:ligatures w14:val="none"/>
        </w:rPr>
        <w:t>aprobación de la ley, pero con las modificaciones sugeridas</w:t>
      </w:r>
      <w:r w:rsidRPr="00B6180A">
        <w:rPr>
          <w:rFonts w:ascii="Calibri" w:eastAsia="Google Sans Text" w:hAnsi="Calibri" w:cs="Calibri"/>
          <w:color w:val="1B1C1D"/>
          <w:kern w:val="0"/>
          <w:lang w:eastAsia="es-CO"/>
          <w14:ligatures w14:val="none"/>
        </w:rPr>
        <w:t xml:space="preserve"> en este informe. De esta manera, Colombia puede avanzar hacia una transición energética que no solo sea limpia y segura, sino también socialmente justa y económicamente sostenible para todos los colombianos, independientemente de su capacidad de inversión en tecnologías propias.</w:t>
      </w:r>
    </w:p>
    <w:p w14:paraId="6C2428EC" w14:textId="77777777" w:rsidR="00B6180A" w:rsidRDefault="00B6180A"/>
    <w:sectPr w:rsidR="00B6180A" w:rsidSect="00B6180A">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B504C" w14:textId="77777777" w:rsidR="004F7508" w:rsidRDefault="004F7508" w:rsidP="00952487">
      <w:pPr>
        <w:spacing w:after="0" w:line="240" w:lineRule="auto"/>
      </w:pPr>
      <w:r>
        <w:separator/>
      </w:r>
    </w:p>
  </w:endnote>
  <w:endnote w:type="continuationSeparator" w:id="0">
    <w:p w14:paraId="6F4D1416" w14:textId="77777777" w:rsidR="004F7508" w:rsidRDefault="004F7508" w:rsidP="00952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oogle Sans">
    <w:altName w:val="Calibri"/>
    <w:panose1 w:val="020B0604020202020204"/>
    <w:charset w:val="00"/>
    <w:family w:val="auto"/>
    <w:pitch w:val="default"/>
  </w:font>
  <w:font w:name="Google Sans Text">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97291" w14:textId="77777777" w:rsidR="004F7508" w:rsidRDefault="004F7508" w:rsidP="00952487">
      <w:pPr>
        <w:spacing w:after="0" w:line="240" w:lineRule="auto"/>
      </w:pPr>
      <w:r>
        <w:separator/>
      </w:r>
    </w:p>
  </w:footnote>
  <w:footnote w:type="continuationSeparator" w:id="0">
    <w:p w14:paraId="34F216C3" w14:textId="77777777" w:rsidR="004F7508" w:rsidRDefault="004F7508" w:rsidP="00952487">
      <w:pPr>
        <w:spacing w:after="0" w:line="240" w:lineRule="auto"/>
      </w:pPr>
      <w:r>
        <w:continuationSeparator/>
      </w:r>
    </w:p>
  </w:footnote>
  <w:footnote w:id="1">
    <w:p w14:paraId="63BBA078" w14:textId="61BFE058" w:rsidR="00952487" w:rsidRPr="00952487" w:rsidRDefault="00952487">
      <w:pPr>
        <w:pStyle w:val="Textonotapie"/>
        <w:rPr>
          <w:lang w:val="es-MX"/>
        </w:rPr>
      </w:pPr>
      <w:r>
        <w:rPr>
          <w:rStyle w:val="Refdenotaalpie"/>
        </w:rPr>
        <w:footnoteRef/>
      </w:r>
      <w:r>
        <w:t xml:space="preserve"> </w:t>
      </w:r>
      <w:r w:rsidRPr="00952487">
        <w:t>https://www.emcali.com.co/w/gracias-a-colombia-solar-1860-hogares-son-beneficiados-por-el-gobierno-nacional-con-reduccion-de-hasta-el-60-en-facturas-de-energia-electrica-1</w:t>
      </w:r>
    </w:p>
  </w:footnote>
  <w:footnote w:id="2">
    <w:p w14:paraId="7AA09C5E" w14:textId="60BA6A9B" w:rsidR="00952487" w:rsidRPr="00952487" w:rsidRDefault="00952487">
      <w:pPr>
        <w:pStyle w:val="Textonotapie"/>
        <w:rPr>
          <w:lang w:val="es-MX"/>
        </w:rPr>
      </w:pPr>
      <w:r>
        <w:rPr>
          <w:rStyle w:val="Refdenotaalpie"/>
        </w:rPr>
        <w:footnoteRef/>
      </w:r>
      <w:r>
        <w:t xml:space="preserve"> </w:t>
      </w:r>
      <w:r w:rsidRPr="00952487">
        <w:t>https://fenoge.gov.co/mas-de-1-000-negocios-de-la-economia-popular-se-beneficiaran-con-energia-solar-en-colombia/</w:t>
      </w:r>
    </w:p>
  </w:footnote>
  <w:footnote w:id="3">
    <w:p w14:paraId="70B1606E" w14:textId="1A8538AB" w:rsidR="00952487" w:rsidRPr="00952487" w:rsidRDefault="00952487">
      <w:pPr>
        <w:pStyle w:val="Textonotapie"/>
        <w:rPr>
          <w:lang w:val="es-MX"/>
        </w:rPr>
      </w:pPr>
      <w:r>
        <w:rPr>
          <w:rStyle w:val="Refdenotaalpie"/>
        </w:rPr>
        <w:footnoteRef/>
      </w:r>
      <w:r>
        <w:t xml:space="preserve"> </w:t>
      </w:r>
      <w:r w:rsidR="00F7404B" w:rsidRPr="00F7404B">
        <w:t>https://www.minenergia.gov.co/es/sala-de-prensa/noticias-index/programa-colombia-solar-asi-pagan-miles-de-familias-cero-pesos-en-su-factura-de-energia-en-cali/</w:t>
      </w:r>
    </w:p>
  </w:footnote>
  <w:footnote w:id="4">
    <w:p w14:paraId="6174EDD2" w14:textId="5F58280E" w:rsidR="00F7404B" w:rsidRPr="00F7404B" w:rsidRDefault="00F7404B">
      <w:pPr>
        <w:pStyle w:val="Textonotapie"/>
        <w:rPr>
          <w:lang w:val="es-MX"/>
        </w:rPr>
      </w:pPr>
      <w:r>
        <w:rPr>
          <w:rStyle w:val="Refdenotaalpie"/>
        </w:rPr>
        <w:footnoteRef/>
      </w:r>
      <w:r>
        <w:t xml:space="preserve"> </w:t>
      </w:r>
      <w:r w:rsidRPr="00F7404B">
        <w:t xml:space="preserve">RESOLUCIÓN </w:t>
      </w:r>
      <w:r>
        <w:t xml:space="preserve">CREG </w:t>
      </w:r>
      <w:r w:rsidRPr="00F7404B">
        <w:t>174 DE 2021</w:t>
      </w:r>
    </w:p>
  </w:footnote>
  <w:footnote w:id="5">
    <w:p w14:paraId="371D7B5E" w14:textId="04BCD513" w:rsidR="00F7404B" w:rsidRPr="00F7404B" w:rsidRDefault="00F7404B">
      <w:pPr>
        <w:pStyle w:val="Textonotapie"/>
        <w:rPr>
          <w:lang w:val="es-MX"/>
        </w:rPr>
      </w:pPr>
      <w:r>
        <w:rPr>
          <w:rStyle w:val="Refdenotaalpie"/>
        </w:rPr>
        <w:footnoteRef/>
      </w:r>
      <w:r>
        <w:t xml:space="preserve"> </w:t>
      </w:r>
      <w:r w:rsidRPr="00F7404B">
        <w:t>https://www.publicadvocates.cpuc.ca.gov/cleanenergy/net-energy-metering</w:t>
      </w:r>
    </w:p>
  </w:footnote>
  <w:footnote w:id="6">
    <w:p w14:paraId="1A632C00" w14:textId="18AD0505" w:rsidR="00EB279D" w:rsidRPr="00EB279D" w:rsidRDefault="00EB279D">
      <w:pPr>
        <w:pStyle w:val="Textonotapie"/>
        <w:rPr>
          <w:lang w:val="es-MX"/>
        </w:rPr>
      </w:pPr>
      <w:r>
        <w:rPr>
          <w:rStyle w:val="Refdenotaalpie"/>
        </w:rPr>
        <w:footnoteRef/>
      </w:r>
      <w:r>
        <w:t xml:space="preserve"> </w:t>
      </w:r>
      <w:r w:rsidRPr="00EB279D">
        <w:t>https://www.minenergia.gov.co/es/sala-de-prensa/noticias-index/hasta-un-60-reducir%C3%A1n-las-facturas-de-energ%C3%ADa-de-comerciantes-en-huila-gracias-al-proyecto-colombia-solar-para-econom%C3%ADas-populares/</w:t>
      </w:r>
    </w:p>
  </w:footnote>
  <w:footnote w:id="7">
    <w:p w14:paraId="2252009A" w14:textId="1A55D82E" w:rsidR="00EB279D" w:rsidRPr="00EB279D" w:rsidRDefault="00EB279D">
      <w:pPr>
        <w:pStyle w:val="Textonotapie"/>
        <w:rPr>
          <w:lang w:val="es-MX"/>
        </w:rPr>
      </w:pPr>
      <w:r>
        <w:rPr>
          <w:rStyle w:val="Refdenotaalpie"/>
        </w:rPr>
        <w:footnoteRef/>
      </w:r>
      <w:r>
        <w:t xml:space="preserve"> </w:t>
      </w:r>
      <w:r w:rsidRPr="00EB279D">
        <w:t>https://www.minenergia.gov.co/es/sala-de-prensa/noticias-index/con-colombia-solar-subsidios-convierten-paneles-reducen-tarifa-energia-hogares-mas-pobres/</w:t>
      </w:r>
    </w:p>
  </w:footnote>
  <w:footnote w:id="8">
    <w:p w14:paraId="21F939A9" w14:textId="76EE3DB0" w:rsidR="00EB279D" w:rsidRPr="00EB279D" w:rsidRDefault="00EB279D">
      <w:pPr>
        <w:pStyle w:val="Textonotapie"/>
        <w:rPr>
          <w:lang w:val="es-MX"/>
        </w:rPr>
      </w:pPr>
      <w:r>
        <w:rPr>
          <w:rStyle w:val="Refdenotaalpie"/>
        </w:rPr>
        <w:footnoteRef/>
      </w:r>
      <w:r>
        <w:t xml:space="preserve"> </w:t>
      </w:r>
      <w:r w:rsidRPr="00EB279D">
        <w:t>https://www.enel.com.co/es/historias/a202309-generacion-distribuida-beneficios-para-colombia.html</w:t>
      </w:r>
    </w:p>
  </w:footnote>
  <w:footnote w:id="9">
    <w:p w14:paraId="13D74885" w14:textId="713C514F" w:rsidR="00EB279D" w:rsidRPr="00EB279D" w:rsidRDefault="00EB279D">
      <w:pPr>
        <w:pStyle w:val="Textonotapie"/>
        <w:rPr>
          <w:lang w:val="es-MX"/>
        </w:rPr>
      </w:pPr>
      <w:r>
        <w:rPr>
          <w:rStyle w:val="Refdenotaalpie"/>
        </w:rPr>
        <w:footnoteRef/>
      </w:r>
      <w:r>
        <w:t xml:space="preserve"> </w:t>
      </w:r>
      <w:r w:rsidRPr="00EB279D">
        <w:t>http://www.scielo.org.co/scielo.php?script=sci_arttext&amp;pid=S0123-921X2013000100008</w:t>
      </w:r>
    </w:p>
  </w:footnote>
  <w:footnote w:id="10">
    <w:p w14:paraId="07DBB2D9" w14:textId="3E3D9A57" w:rsidR="00EB279D" w:rsidRPr="00EB279D" w:rsidRDefault="00EB279D">
      <w:pPr>
        <w:pStyle w:val="Textonotapie"/>
        <w:rPr>
          <w:lang w:val="es-MX"/>
        </w:rPr>
      </w:pPr>
      <w:r>
        <w:rPr>
          <w:rStyle w:val="Refdenotaalpie"/>
        </w:rPr>
        <w:footnoteRef/>
      </w:r>
      <w:r>
        <w:t xml:space="preserve"> </w:t>
      </w:r>
      <w:r w:rsidRPr="00EB279D">
        <w:t>https://www.epm.com.co/content/dam/epm/clientes-y-usuarios/autogeneradores/autogeneradores/Autogeneracion_a_pequena_escala-AGPE-y_Generacion_distribuida-GD.pdf</w:t>
      </w:r>
    </w:p>
  </w:footnote>
  <w:footnote w:id="11">
    <w:p w14:paraId="113D97E2" w14:textId="76D52457" w:rsidR="00EB279D" w:rsidRPr="00EB279D" w:rsidRDefault="00EB279D">
      <w:pPr>
        <w:pStyle w:val="Textonotapie"/>
        <w:rPr>
          <w:lang w:val="es-MX"/>
        </w:rPr>
      </w:pPr>
      <w:r>
        <w:rPr>
          <w:rStyle w:val="Refdenotaalpie"/>
        </w:rPr>
        <w:footnoteRef/>
      </w:r>
      <w:r>
        <w:t xml:space="preserve"> </w:t>
      </w:r>
      <w:r w:rsidRPr="00EB279D">
        <w:t>https://solarandina.com/resolucion-creg-030-normativa-y-oportunidades-para-la-generacion-distribuida-en-colombia/</w:t>
      </w:r>
    </w:p>
  </w:footnote>
  <w:footnote w:id="12">
    <w:p w14:paraId="4F33D1C3" w14:textId="6D0EC9D4" w:rsidR="00EB279D" w:rsidRPr="00EB279D" w:rsidRDefault="00EB279D">
      <w:pPr>
        <w:pStyle w:val="Textonotapie"/>
        <w:rPr>
          <w:lang w:val="es-MX"/>
        </w:rPr>
      </w:pPr>
      <w:r>
        <w:rPr>
          <w:rStyle w:val="Refdenotaalpie"/>
        </w:rPr>
        <w:footnoteRef/>
      </w:r>
      <w:r>
        <w:t xml:space="preserve"> </w:t>
      </w:r>
      <w:r w:rsidRPr="00EB279D">
        <w:t>https://gestornormativo.creg.gov.co/gestor/entorno/docs/resolucion_creg_0030_2018.htm</w:t>
      </w:r>
    </w:p>
  </w:footnote>
  <w:footnote w:id="13">
    <w:p w14:paraId="21641517" w14:textId="3A470D35" w:rsidR="001D15EB" w:rsidRPr="001D15EB" w:rsidRDefault="001D15EB">
      <w:pPr>
        <w:pStyle w:val="Textonotapie"/>
        <w:rPr>
          <w:lang w:val="es-MX"/>
        </w:rPr>
      </w:pPr>
      <w:r>
        <w:rPr>
          <w:rStyle w:val="Refdenotaalpie"/>
        </w:rPr>
        <w:footnoteRef/>
      </w:r>
      <w:r>
        <w:t xml:space="preserve"> </w:t>
      </w:r>
      <w:r w:rsidRPr="001D15EB">
        <w:t>https://fenoge.gov.co/proyectos/</w:t>
      </w:r>
    </w:p>
  </w:footnote>
  <w:footnote w:id="14">
    <w:p w14:paraId="4C39D2D9" w14:textId="622B9D5A" w:rsidR="001D15EB" w:rsidRPr="001D15EB" w:rsidRDefault="001D15EB">
      <w:pPr>
        <w:pStyle w:val="Textonotapie"/>
        <w:rPr>
          <w:lang w:val="es-MX"/>
        </w:rPr>
      </w:pPr>
      <w:r>
        <w:rPr>
          <w:rStyle w:val="Refdenotaalpie"/>
        </w:rPr>
        <w:footnoteRef/>
      </w:r>
      <w:r>
        <w:t xml:space="preserve"> </w:t>
      </w:r>
      <w:r w:rsidRPr="001D15EB">
        <w:t>http://www.scielo.org.co/scielo.php?script=sci_arttext&amp;pid=S0123-921X2013000100008</w:t>
      </w:r>
    </w:p>
  </w:footnote>
  <w:footnote w:id="15">
    <w:p w14:paraId="47391575" w14:textId="0B6AB8C6" w:rsidR="001D15EB" w:rsidRPr="001D15EB" w:rsidRDefault="001D15EB">
      <w:pPr>
        <w:pStyle w:val="Textonotapie"/>
        <w:rPr>
          <w:lang w:val="es-MX"/>
        </w:rPr>
      </w:pPr>
      <w:r>
        <w:rPr>
          <w:rStyle w:val="Refdenotaalpie"/>
        </w:rPr>
        <w:footnoteRef/>
      </w:r>
      <w:r>
        <w:t xml:space="preserve"> </w:t>
      </w:r>
      <w:r w:rsidRPr="001D15EB">
        <w:t>https://distribucionelectrica4.minem.gob.pe/giz/wp-content/uploads/2020/07/C4-10-Desafios-en-el-proceso-de-masificacion-GD.pdf</w:t>
      </w:r>
    </w:p>
  </w:footnote>
  <w:footnote w:id="16">
    <w:p w14:paraId="198E08C7" w14:textId="7F5B0212" w:rsidR="001D15EB" w:rsidRPr="001D15EB" w:rsidRDefault="001D15EB">
      <w:pPr>
        <w:pStyle w:val="Textonotapie"/>
        <w:rPr>
          <w:lang w:val="es-MX"/>
        </w:rPr>
      </w:pPr>
      <w:r>
        <w:rPr>
          <w:rStyle w:val="Refdenotaalpie"/>
        </w:rPr>
        <w:footnoteRef/>
      </w:r>
      <w:r>
        <w:t xml:space="preserve"> </w:t>
      </w:r>
      <w:r w:rsidRPr="001D15EB">
        <w:t>https://ser-colombia.org/wp-content/uploads/2024/08/InformePanoramaPequenaEscala_.pdf</w:t>
      </w:r>
    </w:p>
  </w:footnote>
  <w:footnote w:id="17">
    <w:p w14:paraId="702F12AA" w14:textId="4C56585E" w:rsidR="001D15EB" w:rsidRPr="001D15EB" w:rsidRDefault="001D15EB">
      <w:pPr>
        <w:pStyle w:val="Textonotapie"/>
        <w:rPr>
          <w:lang w:val="es-MX"/>
        </w:rPr>
      </w:pPr>
      <w:r>
        <w:rPr>
          <w:rStyle w:val="Refdenotaalpie"/>
        </w:rPr>
        <w:footnoteRef/>
      </w:r>
      <w:r>
        <w:t xml:space="preserve"> </w:t>
      </w:r>
      <w:r w:rsidRPr="001D15EB">
        <w:t>https://www1.upme.gov.co/SalaPrensa/ComunicadosPrensa/Comunicado_41_UPME_Capacidad_asignacion_10-10-2024.pdf</w:t>
      </w:r>
    </w:p>
  </w:footnote>
  <w:footnote w:id="18">
    <w:p w14:paraId="48BE471B" w14:textId="2BD921C3" w:rsidR="001D15EB" w:rsidRPr="001D15EB" w:rsidRDefault="001D15EB">
      <w:pPr>
        <w:pStyle w:val="Textonotapie"/>
        <w:rPr>
          <w:lang w:val="es-MX"/>
        </w:rPr>
      </w:pPr>
      <w:r>
        <w:rPr>
          <w:rStyle w:val="Refdenotaalpie"/>
        </w:rPr>
        <w:footnoteRef/>
      </w:r>
      <w:r>
        <w:t xml:space="preserve"> </w:t>
      </w:r>
      <w:r w:rsidRPr="001D15EB">
        <w:t>https://www.pv-magazine-latam.com/2025/06/23/retrasos-en-la-transmision-ponen-en-jaque-el-crecimiento-de-proyectos-fotovoltaicos-en-colombia/</w:t>
      </w:r>
    </w:p>
  </w:footnote>
  <w:footnote w:id="19">
    <w:p w14:paraId="464AAD27" w14:textId="22A15F95" w:rsidR="001D15EB" w:rsidRPr="001D15EB" w:rsidRDefault="001D15EB">
      <w:pPr>
        <w:pStyle w:val="Textonotapie"/>
        <w:rPr>
          <w:lang w:val="es-MX"/>
        </w:rPr>
      </w:pPr>
      <w:r>
        <w:rPr>
          <w:rStyle w:val="Refdenotaalpie"/>
        </w:rPr>
        <w:footnoteRef/>
      </w:r>
      <w:r>
        <w:t xml:space="preserve"> </w:t>
      </w:r>
      <w:r w:rsidRPr="001D15EB">
        <w:t>https://www.valoraanalitik.com/que-es-la-generacion-distribuida-y-por-que-enfrenta-retos-regulatorios-en-colombia-por-plazos-de-conexion/</w:t>
      </w:r>
    </w:p>
  </w:footnote>
  <w:footnote w:id="20">
    <w:p w14:paraId="69B6433F" w14:textId="1FE0758E" w:rsidR="00CF0350" w:rsidRPr="00CF0350" w:rsidRDefault="00CF0350">
      <w:pPr>
        <w:pStyle w:val="Textonotapie"/>
        <w:rPr>
          <w:lang w:val="es-MX"/>
        </w:rPr>
      </w:pPr>
      <w:r>
        <w:rPr>
          <w:rStyle w:val="Refdenotaalpie"/>
        </w:rPr>
        <w:footnoteRef/>
      </w:r>
      <w:r>
        <w:t xml:space="preserve"> </w:t>
      </w:r>
      <w:r w:rsidRPr="00CF0350">
        <w:t>https://gestornormativo.creg.gov.co/Publicac.nsf/1c09d18d2d5ffb5b05256eee00709c02/b5341fbcfab96db80525819b006d42fa.html</w:t>
      </w:r>
    </w:p>
  </w:footnote>
  <w:footnote w:id="21">
    <w:p w14:paraId="579CAE13" w14:textId="7BF10716" w:rsidR="00CF0350" w:rsidRPr="00CF0350" w:rsidRDefault="00CF0350">
      <w:pPr>
        <w:pStyle w:val="Textonotapie"/>
        <w:rPr>
          <w:lang w:val="es-MX"/>
        </w:rPr>
      </w:pPr>
      <w:r>
        <w:rPr>
          <w:rStyle w:val="Refdenotaalpie"/>
        </w:rPr>
        <w:footnoteRef/>
      </w:r>
      <w:r>
        <w:t xml:space="preserve"> </w:t>
      </w:r>
      <w:r w:rsidRPr="00CF0350">
        <w:t>https://www.senda.green/marco-normativo-y-regulatorio-de-comunidades-energeticas/</w:t>
      </w:r>
    </w:p>
  </w:footnote>
  <w:footnote w:id="22">
    <w:p w14:paraId="52219CD1" w14:textId="1045FB7B" w:rsidR="00CF0350" w:rsidRPr="00CF0350" w:rsidRDefault="00CF0350">
      <w:pPr>
        <w:pStyle w:val="Textonotapie"/>
        <w:rPr>
          <w:lang w:val="es-MX"/>
        </w:rPr>
      </w:pPr>
      <w:r>
        <w:rPr>
          <w:rStyle w:val="Refdenotaalpie"/>
        </w:rPr>
        <w:footnoteRef/>
      </w:r>
      <w:r>
        <w:t xml:space="preserve"> </w:t>
      </w:r>
      <w:r w:rsidRPr="00CF0350">
        <w:t>https://www.ucan.org/what-is-happening-with-the-net-energy-metering-nem-program-in-california/</w:t>
      </w:r>
    </w:p>
  </w:footnote>
  <w:footnote w:id="23">
    <w:p w14:paraId="2F155D12" w14:textId="54D0ED4D" w:rsidR="00B64B42" w:rsidRPr="00B64B42" w:rsidRDefault="00B64B42">
      <w:pPr>
        <w:pStyle w:val="Textonotapie"/>
        <w:rPr>
          <w:lang w:val="es-MX"/>
        </w:rPr>
      </w:pPr>
      <w:r>
        <w:rPr>
          <w:rStyle w:val="Refdenotaalpie"/>
        </w:rPr>
        <w:footnoteRef/>
      </w:r>
      <w:r>
        <w:t xml:space="preserve"> </w:t>
      </w:r>
      <w:r w:rsidRPr="00B64B42">
        <w:t>https://minenergia.gov.co/documents/11977/norm-ley-1715-2014.pdf</w:t>
      </w:r>
    </w:p>
  </w:footnote>
  <w:footnote w:id="24">
    <w:p w14:paraId="3698EDC7" w14:textId="23687C16" w:rsidR="00B64B42" w:rsidRPr="00B64B42" w:rsidRDefault="00B64B42">
      <w:pPr>
        <w:pStyle w:val="Textonotapie"/>
        <w:rPr>
          <w:lang w:val="es-MX"/>
        </w:rPr>
      </w:pPr>
      <w:r>
        <w:rPr>
          <w:rStyle w:val="Refdenotaalpie"/>
        </w:rPr>
        <w:footnoteRef/>
      </w:r>
      <w:r>
        <w:t xml:space="preserve"> </w:t>
      </w:r>
      <w:r w:rsidRPr="00B64B42">
        <w:t>https://www.funcionpublica.gov.co/eva/gestornormativo/norma.php?i=166326</w:t>
      </w:r>
    </w:p>
  </w:footnote>
  <w:footnote w:id="25">
    <w:p w14:paraId="535B38D0" w14:textId="0EB4C2B1" w:rsidR="00B64B42" w:rsidRPr="00B64B42" w:rsidRDefault="00B64B42">
      <w:pPr>
        <w:pStyle w:val="Textonotapie"/>
        <w:rPr>
          <w:lang w:val="es-MX"/>
        </w:rPr>
      </w:pPr>
      <w:r>
        <w:rPr>
          <w:rStyle w:val="Refdenotaalpie"/>
        </w:rPr>
        <w:footnoteRef/>
      </w:r>
      <w:r>
        <w:t xml:space="preserve"> </w:t>
      </w:r>
      <w:r w:rsidRPr="00B64B42">
        <w:t>https://gestornormativo.creg.gov.co/gestor/entorno/docs/resolucion_creg_0030_2018.htm</w:t>
      </w:r>
    </w:p>
  </w:footnote>
  <w:footnote w:id="26">
    <w:p w14:paraId="365C92D7" w14:textId="635EA799" w:rsidR="00B64B42" w:rsidRPr="00B64B42" w:rsidRDefault="00B64B42">
      <w:pPr>
        <w:pStyle w:val="Textonotapie"/>
        <w:rPr>
          <w:lang w:val="es-MX"/>
        </w:rPr>
      </w:pPr>
      <w:r>
        <w:rPr>
          <w:rStyle w:val="Refdenotaalpie"/>
        </w:rPr>
        <w:footnoteRef/>
      </w:r>
      <w:r>
        <w:t xml:space="preserve"> </w:t>
      </w:r>
      <w:r w:rsidRPr="00B64B42">
        <w:t>https://gestornormativo.creg.gov.co/gestor/entorno/docs/resolucion_creg_0174_2021.htm</w:t>
      </w:r>
    </w:p>
  </w:footnote>
  <w:footnote w:id="27">
    <w:p w14:paraId="6AAE4811" w14:textId="368B1418" w:rsidR="00EF2C17" w:rsidRPr="00EF2C17" w:rsidRDefault="00EF2C17">
      <w:pPr>
        <w:pStyle w:val="Textonotapie"/>
        <w:rPr>
          <w:lang w:val="es-MX"/>
        </w:rPr>
      </w:pPr>
      <w:r>
        <w:rPr>
          <w:rStyle w:val="Refdenotaalpie"/>
        </w:rPr>
        <w:footnoteRef/>
      </w:r>
      <w:r>
        <w:t xml:space="preserve"> </w:t>
      </w:r>
      <w:r w:rsidRPr="00EF2C17">
        <w:t>https://obtienearchivo.bcn.cl/obtienearchivo?id=repositorio/10221/24271/1/Incentivos_para_la_generación_distribuida_en_Alemania.pdf</w:t>
      </w:r>
    </w:p>
  </w:footnote>
  <w:footnote w:id="28">
    <w:p w14:paraId="3EBCB764" w14:textId="381B0F46" w:rsidR="00EF2C17" w:rsidRPr="00EF2C17" w:rsidRDefault="00EF2C17">
      <w:pPr>
        <w:pStyle w:val="Textonotapie"/>
        <w:rPr>
          <w:lang w:val="es-MX"/>
        </w:rPr>
      </w:pPr>
      <w:r>
        <w:rPr>
          <w:rStyle w:val="Refdenotaalpie"/>
        </w:rPr>
        <w:footnoteRef/>
      </w:r>
      <w:r>
        <w:t xml:space="preserve"> </w:t>
      </w:r>
      <w:r w:rsidRPr="00EF2C17">
        <w:t>https://www.tatsachen-ueber-deutschland.de/es/clima-y-energia/la-transicion-energetica</w:t>
      </w:r>
    </w:p>
  </w:footnote>
  <w:footnote w:id="29">
    <w:p w14:paraId="4665989A" w14:textId="47378859" w:rsidR="00EF2C17" w:rsidRPr="00EF2C17" w:rsidRDefault="00EF2C17">
      <w:pPr>
        <w:pStyle w:val="Textonotapie"/>
        <w:rPr>
          <w:lang w:val="es-MX"/>
        </w:rPr>
      </w:pPr>
      <w:r>
        <w:rPr>
          <w:rStyle w:val="Refdenotaalpie"/>
        </w:rPr>
        <w:footnoteRef/>
      </w:r>
      <w:r>
        <w:t xml:space="preserve"> </w:t>
      </w:r>
      <w:r w:rsidRPr="00EF2C17">
        <w:t>https://mx.boell.org/es/2023/07/26/transicion-energetica-ir-la-escuela-internacional</w:t>
      </w:r>
    </w:p>
  </w:footnote>
  <w:footnote w:id="30">
    <w:p w14:paraId="52B6F0C0" w14:textId="40377465" w:rsidR="00EF2C17" w:rsidRPr="00EF2C17" w:rsidRDefault="00EF2C17">
      <w:pPr>
        <w:pStyle w:val="Textonotapie"/>
        <w:rPr>
          <w:lang w:val="es-MX"/>
        </w:rPr>
      </w:pPr>
      <w:r>
        <w:rPr>
          <w:rStyle w:val="Refdenotaalpie"/>
        </w:rPr>
        <w:footnoteRef/>
      </w:r>
      <w:r>
        <w:t xml:space="preserve"> </w:t>
      </w:r>
      <w:r w:rsidRPr="00EF2C17">
        <w:t>https://www.gobiernolocal.org/acento-local/una-reflexion-regulatoria-y-financiera-sobre-las-comunidades-energeticas-fuente-de-innovacion-y-sostenibilidad-para-la-vida-local/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80A"/>
    <w:rsid w:val="0010068A"/>
    <w:rsid w:val="001D15EB"/>
    <w:rsid w:val="00311514"/>
    <w:rsid w:val="003375F7"/>
    <w:rsid w:val="0034692C"/>
    <w:rsid w:val="003711FF"/>
    <w:rsid w:val="00422787"/>
    <w:rsid w:val="004B31C2"/>
    <w:rsid w:val="004F7508"/>
    <w:rsid w:val="006335D3"/>
    <w:rsid w:val="007C38D0"/>
    <w:rsid w:val="00891FCA"/>
    <w:rsid w:val="00952487"/>
    <w:rsid w:val="00B6180A"/>
    <w:rsid w:val="00B64B42"/>
    <w:rsid w:val="00C10295"/>
    <w:rsid w:val="00C27197"/>
    <w:rsid w:val="00C83C82"/>
    <w:rsid w:val="00CF0350"/>
    <w:rsid w:val="00D00726"/>
    <w:rsid w:val="00E6197B"/>
    <w:rsid w:val="00EB279D"/>
    <w:rsid w:val="00EF2C17"/>
    <w:rsid w:val="00F7404B"/>
    <w:rsid w:val="00FB38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A27F8"/>
  <w15:chartTrackingRefBased/>
  <w15:docId w15:val="{73B19A91-E45A-4659-9EF1-BEF02EDD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618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618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6180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6180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6180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6180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6180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6180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6180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6180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6180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6180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6180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6180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618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618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618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6180A"/>
    <w:rPr>
      <w:rFonts w:eastAsiaTheme="majorEastAsia" w:cstheme="majorBidi"/>
      <w:color w:val="272727" w:themeColor="text1" w:themeTint="D8"/>
    </w:rPr>
  </w:style>
  <w:style w:type="paragraph" w:styleId="Ttulo">
    <w:name w:val="Title"/>
    <w:basedOn w:val="Normal"/>
    <w:next w:val="Normal"/>
    <w:link w:val="TtuloCar"/>
    <w:uiPriority w:val="10"/>
    <w:qFormat/>
    <w:rsid w:val="00B618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618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6180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618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6180A"/>
    <w:pPr>
      <w:spacing w:before="160"/>
      <w:jc w:val="center"/>
    </w:pPr>
    <w:rPr>
      <w:i/>
      <w:iCs/>
      <w:color w:val="404040" w:themeColor="text1" w:themeTint="BF"/>
    </w:rPr>
  </w:style>
  <w:style w:type="character" w:customStyle="1" w:styleId="CitaCar">
    <w:name w:val="Cita Car"/>
    <w:basedOn w:val="Fuentedeprrafopredeter"/>
    <w:link w:val="Cita"/>
    <w:uiPriority w:val="29"/>
    <w:rsid w:val="00B6180A"/>
    <w:rPr>
      <w:i/>
      <w:iCs/>
      <w:color w:val="404040" w:themeColor="text1" w:themeTint="BF"/>
    </w:rPr>
  </w:style>
  <w:style w:type="paragraph" w:styleId="Prrafodelista">
    <w:name w:val="List Paragraph"/>
    <w:basedOn w:val="Normal"/>
    <w:uiPriority w:val="34"/>
    <w:qFormat/>
    <w:rsid w:val="00B6180A"/>
    <w:pPr>
      <w:ind w:left="720"/>
      <w:contextualSpacing/>
    </w:pPr>
  </w:style>
  <w:style w:type="character" w:styleId="nfasisintenso">
    <w:name w:val="Intense Emphasis"/>
    <w:basedOn w:val="Fuentedeprrafopredeter"/>
    <w:uiPriority w:val="21"/>
    <w:qFormat/>
    <w:rsid w:val="00B6180A"/>
    <w:rPr>
      <w:i/>
      <w:iCs/>
      <w:color w:val="0F4761" w:themeColor="accent1" w:themeShade="BF"/>
    </w:rPr>
  </w:style>
  <w:style w:type="paragraph" w:styleId="Citadestacada">
    <w:name w:val="Intense Quote"/>
    <w:basedOn w:val="Normal"/>
    <w:next w:val="Normal"/>
    <w:link w:val="CitadestacadaCar"/>
    <w:uiPriority w:val="30"/>
    <w:qFormat/>
    <w:rsid w:val="00B618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6180A"/>
    <w:rPr>
      <w:i/>
      <w:iCs/>
      <w:color w:val="0F4761" w:themeColor="accent1" w:themeShade="BF"/>
    </w:rPr>
  </w:style>
  <w:style w:type="character" w:styleId="Referenciaintensa">
    <w:name w:val="Intense Reference"/>
    <w:basedOn w:val="Fuentedeprrafopredeter"/>
    <w:uiPriority w:val="32"/>
    <w:qFormat/>
    <w:rsid w:val="00B6180A"/>
    <w:rPr>
      <w:b/>
      <w:bCs/>
      <w:smallCaps/>
      <w:color w:val="0F4761" w:themeColor="accent1" w:themeShade="BF"/>
      <w:spacing w:val="5"/>
    </w:rPr>
  </w:style>
  <w:style w:type="paragraph" w:styleId="Textonotapie">
    <w:name w:val="footnote text"/>
    <w:basedOn w:val="Normal"/>
    <w:link w:val="TextonotapieCar"/>
    <w:uiPriority w:val="99"/>
    <w:semiHidden/>
    <w:unhideWhenUsed/>
    <w:rsid w:val="0095248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52487"/>
    <w:rPr>
      <w:sz w:val="20"/>
      <w:szCs w:val="20"/>
    </w:rPr>
  </w:style>
  <w:style w:type="character" w:styleId="Refdenotaalpie">
    <w:name w:val="footnote reference"/>
    <w:basedOn w:val="Fuentedeprrafopredeter"/>
    <w:uiPriority w:val="99"/>
    <w:semiHidden/>
    <w:unhideWhenUsed/>
    <w:rsid w:val="00952487"/>
    <w:rPr>
      <w:vertAlign w:val="superscript"/>
    </w:rPr>
  </w:style>
  <w:style w:type="character" w:styleId="Hipervnculo">
    <w:name w:val="Hyperlink"/>
    <w:basedOn w:val="Fuentedeprrafopredeter"/>
    <w:uiPriority w:val="99"/>
    <w:unhideWhenUsed/>
    <w:rsid w:val="00952487"/>
    <w:rPr>
      <w:color w:val="467886" w:themeColor="hyperlink"/>
      <w:u w:val="single"/>
    </w:rPr>
  </w:style>
  <w:style w:type="character" w:styleId="Mencinsinresolver">
    <w:name w:val="Unresolved Mention"/>
    <w:basedOn w:val="Fuentedeprrafopredeter"/>
    <w:uiPriority w:val="99"/>
    <w:semiHidden/>
    <w:unhideWhenUsed/>
    <w:rsid w:val="00952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2C214-D9F5-4DFB-8744-794837FC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4421</Words>
  <Characters>24317</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Alberto Jaimes</dc:creator>
  <cp:keywords/>
  <dc:description/>
  <cp:lastModifiedBy>Microsoft Office User</cp:lastModifiedBy>
  <cp:revision>6</cp:revision>
  <dcterms:created xsi:type="dcterms:W3CDTF">2025-09-29T18:04:00Z</dcterms:created>
  <dcterms:modified xsi:type="dcterms:W3CDTF">2026-03-25T00:33:00Z</dcterms:modified>
</cp:coreProperties>
</file>